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6BA89" w14:textId="4712D05B" w:rsidR="00C85B27" w:rsidRPr="00CD37B3" w:rsidRDefault="00C85B27" w:rsidP="00C85B27">
      <w:pPr>
        <w:spacing w:before="0" w:after="0"/>
        <w:jc w:val="center"/>
        <w:rPr>
          <w:rFonts w:ascii="Times New Roman" w:eastAsia="Times New Roman" w:hAnsi="Times New Roman" w:cs="Times New Roman"/>
          <w:b/>
          <w:bCs/>
          <w:color w:val="auto"/>
          <w:sz w:val="24"/>
          <w:szCs w:val="24"/>
        </w:rPr>
      </w:pPr>
      <w:r w:rsidRPr="00CD37B3">
        <w:rPr>
          <w:rFonts w:ascii="Times New Roman" w:eastAsia="Times New Roman" w:hAnsi="Times New Roman" w:cs="Times New Roman"/>
          <w:b/>
          <w:bCs/>
          <w:color w:val="auto"/>
          <w:sz w:val="24"/>
          <w:szCs w:val="24"/>
        </w:rPr>
        <w:t>DOCKET NO. 51619</w:t>
      </w:r>
    </w:p>
    <w:p w14:paraId="726F10AE" w14:textId="77777777" w:rsidR="00C85B27" w:rsidRPr="00CD37B3" w:rsidRDefault="00C85B27" w:rsidP="00C85B27">
      <w:pPr>
        <w:spacing w:before="0" w:after="0"/>
        <w:ind w:left="720"/>
        <w:jc w:val="center"/>
        <w:rPr>
          <w:rFonts w:ascii="Times New Roman" w:eastAsia="Times New Roman" w:hAnsi="Times New Roman" w:cs="Times New Roman"/>
          <w:b/>
          <w:color w:val="auto"/>
          <w:sz w:val="24"/>
          <w:szCs w:val="24"/>
        </w:rPr>
      </w:pPr>
    </w:p>
    <w:tbl>
      <w:tblPr>
        <w:tblW w:w="0" w:type="auto"/>
        <w:tblInd w:w="720" w:type="dxa"/>
        <w:tblLook w:val="01E0" w:firstRow="1" w:lastRow="1" w:firstColumn="1" w:lastColumn="1" w:noHBand="0" w:noVBand="0"/>
      </w:tblPr>
      <w:tblGrid>
        <w:gridCol w:w="4329"/>
        <w:gridCol w:w="359"/>
        <w:gridCol w:w="4672"/>
      </w:tblGrid>
      <w:tr w:rsidR="00C85B27" w:rsidRPr="00CD37B3" w14:paraId="6EFD1518" w14:textId="77777777" w:rsidTr="00C85B27">
        <w:trPr>
          <w:trHeight w:val="1251"/>
        </w:trPr>
        <w:tc>
          <w:tcPr>
            <w:tcW w:w="4329" w:type="dxa"/>
            <w:hideMark/>
          </w:tcPr>
          <w:p w14:paraId="59ED2C0F" w14:textId="140CC63D" w:rsidR="00C85B27" w:rsidRPr="00CD37B3" w:rsidRDefault="00C85B27" w:rsidP="00C85B27">
            <w:pPr>
              <w:spacing w:before="0" w:after="0"/>
              <w:rPr>
                <w:rFonts w:ascii="Times New Roman" w:eastAsia="Times New Roman" w:hAnsi="Times New Roman" w:cs="Times New Roman"/>
                <w:b/>
                <w:bCs/>
                <w:caps/>
                <w:color w:val="auto"/>
                <w:sz w:val="24"/>
                <w:szCs w:val="24"/>
              </w:rPr>
            </w:pPr>
            <w:r w:rsidRPr="00CD37B3">
              <w:rPr>
                <w:rFonts w:ascii="Times New Roman" w:eastAsia="Times New Roman" w:hAnsi="Times New Roman" w:cs="Times New Roman"/>
                <w:b/>
                <w:bCs/>
                <w:caps/>
                <w:color w:val="auto"/>
                <w:sz w:val="24"/>
                <w:szCs w:val="24"/>
              </w:rPr>
              <w:t>COMPLAINT OF Jeff Connors AGAINST THE GALLERY APARTMENTS, ROSCOE PROPERTY MANAGEMENT, AND CONSERVICE</w:t>
            </w:r>
          </w:p>
        </w:tc>
        <w:tc>
          <w:tcPr>
            <w:tcW w:w="359" w:type="dxa"/>
          </w:tcPr>
          <w:p w14:paraId="7AC03401" w14:textId="77777777" w:rsidR="00C85B27" w:rsidRPr="00CD37B3" w:rsidRDefault="00C85B27" w:rsidP="00C85B27">
            <w:pPr>
              <w:spacing w:before="0" w:after="0"/>
              <w:jc w:val="center"/>
              <w:rPr>
                <w:rFonts w:ascii="Times New Roman" w:eastAsia="Times New Roman" w:hAnsi="Times New Roman" w:cs="Times New Roman"/>
                <w:b/>
                <w:color w:val="auto"/>
                <w:sz w:val="24"/>
                <w:szCs w:val="24"/>
              </w:rPr>
            </w:pPr>
            <w:r w:rsidRPr="00CD37B3">
              <w:rPr>
                <w:rFonts w:ascii="Times New Roman" w:eastAsia="Times New Roman" w:hAnsi="Times New Roman" w:cs="Times New Roman"/>
                <w:b/>
                <w:color w:val="auto"/>
                <w:sz w:val="24"/>
                <w:szCs w:val="24"/>
              </w:rPr>
              <w:t>§</w:t>
            </w:r>
          </w:p>
          <w:p w14:paraId="3A981488" w14:textId="77777777" w:rsidR="00C85B27" w:rsidRPr="00CD37B3" w:rsidRDefault="00C85B27" w:rsidP="00C85B27">
            <w:pPr>
              <w:spacing w:before="0" w:after="0"/>
              <w:jc w:val="center"/>
              <w:rPr>
                <w:rFonts w:ascii="Times New Roman" w:eastAsia="Times New Roman" w:hAnsi="Times New Roman" w:cs="Times New Roman"/>
                <w:b/>
                <w:color w:val="auto"/>
                <w:sz w:val="24"/>
                <w:szCs w:val="24"/>
              </w:rPr>
            </w:pPr>
            <w:r w:rsidRPr="00CD37B3">
              <w:rPr>
                <w:rFonts w:ascii="Times New Roman" w:eastAsia="Times New Roman" w:hAnsi="Times New Roman" w:cs="Times New Roman"/>
                <w:b/>
                <w:color w:val="auto"/>
                <w:sz w:val="24"/>
                <w:szCs w:val="24"/>
              </w:rPr>
              <w:t>§</w:t>
            </w:r>
          </w:p>
          <w:p w14:paraId="77587D25" w14:textId="77777777" w:rsidR="00C85B27" w:rsidRPr="00CD37B3" w:rsidRDefault="00C85B27" w:rsidP="00C85B27">
            <w:pPr>
              <w:spacing w:before="0" w:after="0"/>
              <w:jc w:val="center"/>
              <w:rPr>
                <w:rFonts w:ascii="Times New Roman" w:eastAsia="Times New Roman" w:hAnsi="Times New Roman" w:cs="Times New Roman"/>
                <w:b/>
                <w:color w:val="auto"/>
                <w:sz w:val="24"/>
                <w:szCs w:val="24"/>
              </w:rPr>
            </w:pPr>
            <w:r w:rsidRPr="00CD37B3">
              <w:rPr>
                <w:rFonts w:ascii="Times New Roman" w:eastAsia="Times New Roman" w:hAnsi="Times New Roman" w:cs="Times New Roman"/>
                <w:b/>
                <w:color w:val="auto"/>
                <w:sz w:val="24"/>
                <w:szCs w:val="24"/>
              </w:rPr>
              <w:t>§</w:t>
            </w:r>
          </w:p>
          <w:p w14:paraId="18C5E92F" w14:textId="77777777" w:rsidR="00C85B27" w:rsidRPr="00CD37B3" w:rsidRDefault="00C85B27" w:rsidP="00C85B27">
            <w:pPr>
              <w:spacing w:before="0" w:after="0"/>
              <w:jc w:val="center"/>
              <w:rPr>
                <w:rFonts w:ascii="Times New Roman" w:eastAsia="Times New Roman" w:hAnsi="Times New Roman" w:cs="Times New Roman"/>
                <w:b/>
                <w:color w:val="auto"/>
                <w:sz w:val="24"/>
                <w:szCs w:val="24"/>
              </w:rPr>
            </w:pPr>
          </w:p>
        </w:tc>
        <w:tc>
          <w:tcPr>
            <w:tcW w:w="4672" w:type="dxa"/>
          </w:tcPr>
          <w:p w14:paraId="7B8F638C" w14:textId="77777777" w:rsidR="00C85B27" w:rsidRPr="00CD37B3" w:rsidRDefault="00C85B27" w:rsidP="00C85B27">
            <w:pPr>
              <w:keepNext/>
              <w:tabs>
                <w:tab w:val="center" w:pos="4770"/>
                <w:tab w:val="left" w:pos="5400"/>
              </w:tabs>
              <w:spacing w:before="0" w:after="0"/>
              <w:jc w:val="center"/>
              <w:rPr>
                <w:rFonts w:ascii="Times New Roman" w:eastAsia="Times New Roman" w:hAnsi="Times New Roman" w:cs="Times New Roman"/>
                <w:b/>
                <w:bCs/>
                <w:caps/>
                <w:color w:val="auto"/>
                <w:sz w:val="24"/>
                <w:szCs w:val="24"/>
              </w:rPr>
            </w:pPr>
            <w:r w:rsidRPr="00CD37B3">
              <w:rPr>
                <w:rFonts w:ascii="Times New Roman" w:eastAsia="Times New Roman" w:hAnsi="Times New Roman" w:cs="Times New Roman"/>
                <w:b/>
                <w:bCs/>
                <w:caps/>
                <w:color w:val="auto"/>
                <w:sz w:val="24"/>
                <w:szCs w:val="24"/>
              </w:rPr>
              <w:t>PUBLIC UTILITY COMMISSION</w:t>
            </w:r>
          </w:p>
          <w:p w14:paraId="46EAE9E5" w14:textId="77777777" w:rsidR="00C85B27" w:rsidRPr="00CD37B3" w:rsidRDefault="00C85B27" w:rsidP="00C85B27">
            <w:pPr>
              <w:keepNext/>
              <w:tabs>
                <w:tab w:val="center" w:pos="4770"/>
                <w:tab w:val="left" w:pos="5400"/>
              </w:tabs>
              <w:spacing w:before="0" w:after="0"/>
              <w:jc w:val="center"/>
              <w:rPr>
                <w:rFonts w:ascii="Times New Roman" w:eastAsia="Times New Roman" w:hAnsi="Times New Roman" w:cs="Times New Roman"/>
                <w:b/>
                <w:bCs/>
                <w:caps/>
                <w:color w:val="auto"/>
                <w:sz w:val="24"/>
                <w:szCs w:val="24"/>
              </w:rPr>
            </w:pPr>
          </w:p>
          <w:p w14:paraId="3D1BCFBB" w14:textId="77777777" w:rsidR="00C85B27" w:rsidRPr="00CD37B3" w:rsidRDefault="00C85B27" w:rsidP="00C85B27">
            <w:pPr>
              <w:keepNext/>
              <w:tabs>
                <w:tab w:val="center" w:pos="4770"/>
                <w:tab w:val="left" w:pos="5400"/>
              </w:tabs>
              <w:spacing w:before="0" w:after="0"/>
              <w:jc w:val="center"/>
              <w:rPr>
                <w:rFonts w:ascii="Times New Roman" w:eastAsia="Times New Roman" w:hAnsi="Times New Roman" w:cs="Times New Roman"/>
                <w:b/>
                <w:bCs/>
                <w:caps/>
                <w:color w:val="auto"/>
                <w:sz w:val="24"/>
                <w:szCs w:val="24"/>
              </w:rPr>
            </w:pPr>
            <w:r w:rsidRPr="00CD37B3">
              <w:rPr>
                <w:rFonts w:ascii="Times New Roman" w:eastAsia="Times New Roman" w:hAnsi="Times New Roman" w:cs="Times New Roman"/>
                <w:b/>
                <w:bCs/>
                <w:caps/>
                <w:color w:val="auto"/>
                <w:sz w:val="24"/>
                <w:szCs w:val="24"/>
              </w:rPr>
              <w:t>OF TEXAS</w:t>
            </w:r>
          </w:p>
        </w:tc>
      </w:tr>
    </w:tbl>
    <w:p w14:paraId="2399AFF0" w14:textId="5FC2990E" w:rsidR="00C85B27" w:rsidRDefault="00C85B27" w:rsidP="00520D83">
      <w:pPr>
        <w:spacing w:line="480" w:lineRule="auto"/>
        <w:jc w:val="center"/>
        <w:rPr>
          <w:rFonts w:ascii="Times New Roman" w:hAnsi="Times New Roman" w:cs="Times New Roman"/>
          <w:b/>
          <w:bCs/>
          <w:color w:val="auto"/>
          <w:sz w:val="24"/>
          <w:szCs w:val="24"/>
        </w:rPr>
      </w:pPr>
      <w:r w:rsidRPr="00CD37B3">
        <w:rPr>
          <w:rFonts w:ascii="Times New Roman" w:hAnsi="Times New Roman" w:cs="Times New Roman"/>
          <w:b/>
          <w:bCs/>
          <w:color w:val="auto"/>
          <w:sz w:val="24"/>
          <w:szCs w:val="24"/>
        </w:rPr>
        <w:t>RESPONSE TO ORDER 13</w:t>
      </w:r>
    </w:p>
    <w:p w14:paraId="477697F6" w14:textId="23D0B808" w:rsidR="00FD328B" w:rsidRDefault="00FD328B" w:rsidP="00FD328B">
      <w:pPr>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CONSERVICE’S OBJECTION TO PUBLIC UTILITY COMMISSION OF TEXAS’ LATE RESPONSE TO THE MOTION TO DISMISS AND CONSERVICE’S SUBSEQUENT MOTION TO STRIKE</w:t>
      </w:r>
    </w:p>
    <w:p w14:paraId="7E6F0333" w14:textId="77777777" w:rsidR="00165411" w:rsidRDefault="00165411" w:rsidP="00FD328B">
      <w:pPr>
        <w:jc w:val="center"/>
        <w:rPr>
          <w:rFonts w:ascii="Times New Roman" w:hAnsi="Times New Roman" w:cs="Times New Roman"/>
          <w:b/>
          <w:bCs/>
          <w:color w:val="auto"/>
          <w:sz w:val="24"/>
          <w:szCs w:val="24"/>
        </w:rPr>
      </w:pPr>
    </w:p>
    <w:p w14:paraId="45E67603" w14:textId="77777777" w:rsidR="00165411" w:rsidRDefault="00FD328B" w:rsidP="00165411">
      <w:pPr>
        <w:spacing w:line="480" w:lineRule="auto"/>
        <w:rPr>
          <w:rFonts w:ascii="Times New Roman" w:hAnsi="Times New Roman" w:cs="Times New Roman"/>
          <w:color w:val="auto"/>
          <w:sz w:val="24"/>
          <w:szCs w:val="24"/>
        </w:rPr>
      </w:pPr>
      <w:r>
        <w:rPr>
          <w:rFonts w:ascii="Times New Roman" w:hAnsi="Times New Roman" w:cs="Times New Roman"/>
          <w:b/>
          <w:bCs/>
          <w:color w:val="auto"/>
          <w:sz w:val="24"/>
          <w:szCs w:val="24"/>
        </w:rPr>
        <w:tab/>
      </w:r>
      <w:r>
        <w:rPr>
          <w:rFonts w:ascii="Times New Roman" w:hAnsi="Times New Roman" w:cs="Times New Roman"/>
          <w:color w:val="auto"/>
          <w:sz w:val="24"/>
          <w:szCs w:val="24"/>
        </w:rPr>
        <w:t xml:space="preserve">Conservice files this objection and motion to strike in response to Public Utility Commission of Texas’ (“PUC”) late response to Conservice’s motion to </w:t>
      </w:r>
      <w:r w:rsidR="0088794E">
        <w:rPr>
          <w:rFonts w:ascii="Times New Roman" w:hAnsi="Times New Roman" w:cs="Times New Roman"/>
          <w:color w:val="auto"/>
          <w:sz w:val="24"/>
          <w:szCs w:val="24"/>
        </w:rPr>
        <w:t>dismiss. Pursuant to Order No. 13, PUC’s response was not timely filed.</w:t>
      </w:r>
      <w:r w:rsidR="00E422CE">
        <w:rPr>
          <w:rStyle w:val="FootnoteReference"/>
          <w:rFonts w:ascii="Times New Roman" w:hAnsi="Times New Roman" w:cs="Times New Roman"/>
          <w:color w:val="auto"/>
          <w:sz w:val="24"/>
          <w:szCs w:val="24"/>
        </w:rPr>
        <w:footnoteReference w:id="1"/>
      </w:r>
    </w:p>
    <w:p w14:paraId="32EA42C9" w14:textId="69178216" w:rsidR="0085691F" w:rsidRPr="00165411" w:rsidRDefault="0085691F" w:rsidP="00165411">
      <w:pPr>
        <w:spacing w:line="480" w:lineRule="auto"/>
        <w:jc w:val="center"/>
        <w:rPr>
          <w:rFonts w:ascii="Times New Roman" w:hAnsi="Times New Roman" w:cs="Times New Roman"/>
          <w:color w:val="auto"/>
          <w:sz w:val="24"/>
          <w:szCs w:val="24"/>
        </w:rPr>
      </w:pPr>
      <w:r w:rsidRPr="00165411">
        <w:rPr>
          <w:rFonts w:ascii="Times New Roman" w:hAnsi="Times New Roman" w:cs="Times New Roman"/>
          <w:b/>
          <w:bCs/>
          <w:color w:val="auto"/>
          <w:sz w:val="24"/>
          <w:szCs w:val="24"/>
        </w:rPr>
        <w:t>BACKGROUND</w:t>
      </w:r>
    </w:p>
    <w:p w14:paraId="6256C1D9" w14:textId="5D1754A7" w:rsidR="0085691F" w:rsidRDefault="006328D3" w:rsidP="0085691F">
      <w:pPr>
        <w:spacing w:line="480" w:lineRule="auto"/>
        <w:rPr>
          <w:rFonts w:ascii="Times New Roman" w:hAnsi="Times New Roman" w:cs="Times New Roman"/>
          <w:color w:val="auto"/>
          <w:sz w:val="24"/>
          <w:szCs w:val="24"/>
        </w:rPr>
      </w:pPr>
      <w:r>
        <w:rPr>
          <w:rFonts w:ascii="Times New Roman" w:hAnsi="Times New Roman" w:cs="Times New Roman"/>
          <w:color w:val="auto"/>
          <w:sz w:val="24"/>
          <w:szCs w:val="24"/>
        </w:rPr>
        <w:tab/>
        <w:t xml:space="preserve">Conservice filed a timely response on January 6, 2021, to the complaint of Jeff Connors asserting that the Commission is without jurisdiction over Conservice according to </w:t>
      </w:r>
      <w:r w:rsidRPr="00CD37B3">
        <w:rPr>
          <w:rFonts w:ascii="Times New Roman" w:hAnsi="Times New Roman" w:cs="Times New Roman"/>
          <w:color w:val="auto"/>
          <w:sz w:val="24"/>
          <w:szCs w:val="24"/>
        </w:rPr>
        <w:t>16 Texas Administrative Code (TAC) § 24.285</w:t>
      </w:r>
      <w:r w:rsidR="00446F7C">
        <w:rPr>
          <w:rFonts w:ascii="Times New Roman" w:hAnsi="Times New Roman" w:cs="Times New Roman"/>
          <w:color w:val="auto"/>
          <w:sz w:val="24"/>
          <w:szCs w:val="24"/>
        </w:rPr>
        <w:t xml:space="preserve"> because Conservice is a third-party billing company</w:t>
      </w:r>
      <w:r w:rsidR="00AE7FF9">
        <w:rPr>
          <w:rFonts w:ascii="Times New Roman" w:hAnsi="Times New Roman" w:cs="Times New Roman"/>
          <w:color w:val="auto"/>
          <w:sz w:val="24"/>
          <w:szCs w:val="24"/>
        </w:rPr>
        <w:t xml:space="preserve">, not </w:t>
      </w:r>
      <w:r w:rsidR="00D552D6">
        <w:rPr>
          <w:rFonts w:ascii="Times New Roman" w:hAnsi="Times New Roman" w:cs="Times New Roman"/>
          <w:color w:val="auto"/>
          <w:sz w:val="24"/>
          <w:szCs w:val="24"/>
        </w:rPr>
        <w:t>an owner</w:t>
      </w:r>
      <w:r w:rsidR="00446F7C">
        <w:rPr>
          <w:rFonts w:ascii="Times New Roman" w:hAnsi="Times New Roman" w:cs="Times New Roman"/>
          <w:color w:val="auto"/>
          <w:sz w:val="24"/>
          <w:szCs w:val="24"/>
        </w:rPr>
        <w:t xml:space="preserve">. </w:t>
      </w:r>
    </w:p>
    <w:p w14:paraId="0D6AC07C" w14:textId="354A19C5" w:rsidR="005424AC" w:rsidRDefault="00446F7C" w:rsidP="005424AC">
      <w:pPr>
        <w:spacing w:line="480" w:lineRule="auto"/>
        <w:rPr>
          <w:rFonts w:ascii="Times New Roman" w:hAnsi="Times New Roman" w:cs="Times New Roman"/>
          <w:color w:val="auto"/>
          <w:sz w:val="24"/>
          <w:szCs w:val="24"/>
        </w:rPr>
      </w:pPr>
      <w:r>
        <w:rPr>
          <w:rFonts w:ascii="Times New Roman" w:hAnsi="Times New Roman" w:cs="Times New Roman"/>
          <w:color w:val="auto"/>
          <w:sz w:val="24"/>
          <w:szCs w:val="24"/>
        </w:rPr>
        <w:tab/>
        <w:t xml:space="preserve">On April 25, 2022, the Commission requested that Conservice provide specific evidence supporting the claim of a lack of jurisdiction as asserted by Jeff Connors. </w:t>
      </w:r>
      <w:r w:rsidR="005424AC">
        <w:rPr>
          <w:rFonts w:ascii="Times New Roman" w:hAnsi="Times New Roman" w:cs="Times New Roman"/>
          <w:color w:val="auto"/>
          <w:sz w:val="24"/>
          <w:szCs w:val="24"/>
        </w:rPr>
        <w:t xml:space="preserve">The Commission set May 6th, </w:t>
      </w:r>
      <w:proofErr w:type="gramStart"/>
      <w:r w:rsidR="005424AC">
        <w:rPr>
          <w:rFonts w:ascii="Times New Roman" w:hAnsi="Times New Roman" w:cs="Times New Roman"/>
          <w:color w:val="auto"/>
          <w:sz w:val="24"/>
          <w:szCs w:val="24"/>
        </w:rPr>
        <w:t>2022</w:t>
      </w:r>
      <w:proofErr w:type="gramEnd"/>
      <w:r w:rsidR="005424AC">
        <w:rPr>
          <w:rFonts w:ascii="Times New Roman" w:hAnsi="Times New Roman" w:cs="Times New Roman"/>
          <w:color w:val="auto"/>
          <w:sz w:val="24"/>
          <w:szCs w:val="24"/>
        </w:rPr>
        <w:t xml:space="preserve"> as the deadline and Conservice submitted a timely response. The Commission also stated that any subsequent response to the motion to dismiss must be filed by May 2</w:t>
      </w:r>
      <w:r w:rsidR="00C3479C">
        <w:rPr>
          <w:rFonts w:ascii="Times New Roman" w:hAnsi="Times New Roman" w:cs="Times New Roman"/>
          <w:color w:val="auto"/>
          <w:sz w:val="24"/>
          <w:szCs w:val="24"/>
        </w:rPr>
        <w:t>0</w:t>
      </w:r>
      <w:r w:rsidR="005424AC">
        <w:rPr>
          <w:rFonts w:ascii="Times New Roman" w:hAnsi="Times New Roman" w:cs="Times New Roman"/>
          <w:color w:val="auto"/>
          <w:sz w:val="24"/>
          <w:szCs w:val="24"/>
        </w:rPr>
        <w:t xml:space="preserve">th, 2022. </w:t>
      </w:r>
    </w:p>
    <w:p w14:paraId="76CB7BBF" w14:textId="77573EC7" w:rsidR="00165411" w:rsidRDefault="00165411" w:rsidP="005424AC">
      <w:pPr>
        <w:spacing w:line="480" w:lineRule="auto"/>
        <w:rPr>
          <w:rFonts w:ascii="Times New Roman" w:hAnsi="Times New Roman" w:cs="Times New Roman"/>
          <w:color w:val="auto"/>
          <w:sz w:val="24"/>
          <w:szCs w:val="24"/>
        </w:rPr>
      </w:pPr>
    </w:p>
    <w:p w14:paraId="691043D0" w14:textId="77777777" w:rsidR="00165411" w:rsidRDefault="00165411" w:rsidP="005424AC">
      <w:pPr>
        <w:spacing w:line="480" w:lineRule="auto"/>
        <w:rPr>
          <w:rFonts w:ascii="Times New Roman" w:hAnsi="Times New Roman" w:cs="Times New Roman"/>
          <w:color w:val="auto"/>
          <w:sz w:val="24"/>
          <w:szCs w:val="24"/>
        </w:rPr>
      </w:pPr>
    </w:p>
    <w:p w14:paraId="45BD70D2" w14:textId="15A8F279" w:rsidR="00185EDB" w:rsidRPr="00185EDB" w:rsidRDefault="00185EDB" w:rsidP="005424AC">
      <w:pPr>
        <w:spacing w:line="480" w:lineRule="auto"/>
        <w:jc w:val="center"/>
        <w:rPr>
          <w:rFonts w:ascii="Times New Roman" w:hAnsi="Times New Roman" w:cs="Times New Roman"/>
          <w:b/>
          <w:bCs/>
          <w:color w:val="auto"/>
          <w:sz w:val="24"/>
          <w:szCs w:val="24"/>
        </w:rPr>
      </w:pPr>
      <w:r w:rsidRPr="00185EDB">
        <w:rPr>
          <w:rFonts w:ascii="Times New Roman" w:hAnsi="Times New Roman" w:cs="Times New Roman"/>
          <w:b/>
          <w:bCs/>
          <w:color w:val="auto"/>
          <w:sz w:val="24"/>
          <w:szCs w:val="24"/>
        </w:rPr>
        <w:t>ARUGMENT</w:t>
      </w:r>
    </w:p>
    <w:p w14:paraId="3D301A6C" w14:textId="139C9BAF" w:rsidR="00185EDB" w:rsidRDefault="00185EDB" w:rsidP="00670BBF">
      <w:pPr>
        <w:spacing w:line="480" w:lineRule="auto"/>
        <w:ind w:firstLine="360"/>
        <w:rPr>
          <w:rFonts w:ascii="Times New Roman" w:hAnsi="Times New Roman" w:cs="Times New Roman"/>
          <w:color w:val="auto"/>
          <w:sz w:val="24"/>
          <w:szCs w:val="24"/>
        </w:rPr>
      </w:pPr>
      <w:r>
        <w:rPr>
          <w:rFonts w:ascii="Times New Roman" w:hAnsi="Times New Roman" w:cs="Times New Roman"/>
          <w:color w:val="auto"/>
          <w:sz w:val="24"/>
          <w:szCs w:val="24"/>
        </w:rPr>
        <w:t xml:space="preserve">Conservice moves to strike PUC’s </w:t>
      </w:r>
      <w:r w:rsidR="0076050A">
        <w:rPr>
          <w:rFonts w:ascii="Times New Roman" w:hAnsi="Times New Roman" w:cs="Times New Roman"/>
          <w:color w:val="auto"/>
          <w:sz w:val="24"/>
          <w:szCs w:val="24"/>
        </w:rPr>
        <w:t>arguments on the grounds that PUC’s response to Conservice’s</w:t>
      </w:r>
      <w:r w:rsidR="00670BBF">
        <w:rPr>
          <w:rFonts w:ascii="Times New Roman" w:hAnsi="Times New Roman" w:cs="Times New Roman"/>
          <w:color w:val="auto"/>
          <w:sz w:val="24"/>
          <w:szCs w:val="24"/>
        </w:rPr>
        <w:t xml:space="preserve"> </w:t>
      </w:r>
      <w:r w:rsidR="0076050A">
        <w:rPr>
          <w:rFonts w:ascii="Times New Roman" w:hAnsi="Times New Roman" w:cs="Times New Roman"/>
          <w:color w:val="auto"/>
          <w:sz w:val="24"/>
          <w:szCs w:val="24"/>
        </w:rPr>
        <w:t xml:space="preserve">motion to dismiss was not filed by the May </w:t>
      </w:r>
      <w:r w:rsidR="005424AC">
        <w:rPr>
          <w:rFonts w:ascii="Times New Roman" w:hAnsi="Times New Roman" w:cs="Times New Roman"/>
          <w:color w:val="auto"/>
          <w:sz w:val="24"/>
          <w:szCs w:val="24"/>
        </w:rPr>
        <w:t>20th</w:t>
      </w:r>
      <w:r w:rsidR="0076050A">
        <w:rPr>
          <w:rFonts w:ascii="Times New Roman" w:hAnsi="Times New Roman" w:cs="Times New Roman"/>
          <w:color w:val="auto"/>
          <w:sz w:val="24"/>
          <w:szCs w:val="24"/>
        </w:rPr>
        <w:t xml:space="preserve">, </w:t>
      </w:r>
      <w:proofErr w:type="gramStart"/>
      <w:r w:rsidR="0076050A">
        <w:rPr>
          <w:rFonts w:ascii="Times New Roman" w:hAnsi="Times New Roman" w:cs="Times New Roman"/>
          <w:color w:val="auto"/>
          <w:sz w:val="24"/>
          <w:szCs w:val="24"/>
        </w:rPr>
        <w:t>2022</w:t>
      </w:r>
      <w:proofErr w:type="gramEnd"/>
      <w:r w:rsidR="0076050A">
        <w:rPr>
          <w:rFonts w:ascii="Times New Roman" w:hAnsi="Times New Roman" w:cs="Times New Roman"/>
          <w:color w:val="auto"/>
          <w:sz w:val="24"/>
          <w:szCs w:val="24"/>
        </w:rPr>
        <w:t xml:space="preserve"> deadline. Conservice did not consent to an extension of the deadline to respond to the motion to dismiss</w:t>
      </w:r>
      <w:r w:rsidR="00537D5F">
        <w:rPr>
          <w:rFonts w:ascii="Times New Roman" w:hAnsi="Times New Roman" w:cs="Times New Roman"/>
          <w:color w:val="auto"/>
          <w:sz w:val="24"/>
          <w:szCs w:val="24"/>
        </w:rPr>
        <w:t xml:space="preserve"> nor did PUC </w:t>
      </w:r>
      <w:r w:rsidR="00464B61">
        <w:rPr>
          <w:rFonts w:ascii="Times New Roman" w:hAnsi="Times New Roman" w:cs="Times New Roman"/>
          <w:color w:val="auto"/>
          <w:sz w:val="24"/>
          <w:szCs w:val="24"/>
        </w:rPr>
        <w:t xml:space="preserve">seek a formal extension from the </w:t>
      </w:r>
      <w:r w:rsidR="0069075B">
        <w:rPr>
          <w:rFonts w:ascii="Times New Roman" w:hAnsi="Times New Roman" w:cs="Times New Roman"/>
          <w:color w:val="auto"/>
          <w:sz w:val="24"/>
          <w:szCs w:val="24"/>
        </w:rPr>
        <w:t>ALJ</w:t>
      </w:r>
      <w:r w:rsidR="00670BBF">
        <w:rPr>
          <w:rFonts w:ascii="Times New Roman" w:hAnsi="Times New Roman" w:cs="Times New Roman"/>
          <w:color w:val="auto"/>
          <w:sz w:val="24"/>
          <w:szCs w:val="24"/>
        </w:rPr>
        <w:t xml:space="preserve">, therefore PUC’s subsequent arguments should not be considered. </w:t>
      </w:r>
    </w:p>
    <w:p w14:paraId="0B89CA53" w14:textId="7FB72044" w:rsidR="008B283D" w:rsidRDefault="00670BBF" w:rsidP="009901BD">
      <w:pPr>
        <w:spacing w:line="480" w:lineRule="auto"/>
        <w:ind w:firstLine="360"/>
        <w:rPr>
          <w:rFonts w:ascii="Times New Roman" w:hAnsi="Times New Roman" w:cs="Times New Roman"/>
          <w:color w:val="auto"/>
          <w:sz w:val="24"/>
          <w:szCs w:val="24"/>
        </w:rPr>
      </w:pPr>
      <w:r>
        <w:rPr>
          <w:rFonts w:ascii="Times New Roman" w:hAnsi="Times New Roman" w:cs="Times New Roman"/>
          <w:color w:val="auto"/>
          <w:sz w:val="24"/>
          <w:szCs w:val="24"/>
        </w:rPr>
        <w:t xml:space="preserve">Pursuant to </w:t>
      </w:r>
      <w:r w:rsidR="008B283D">
        <w:rPr>
          <w:rFonts w:ascii="Times New Roman" w:hAnsi="Times New Roman" w:cs="Times New Roman"/>
          <w:color w:val="auto"/>
          <w:sz w:val="24"/>
          <w:szCs w:val="24"/>
        </w:rPr>
        <w:t xml:space="preserve">PUC § 22.78(a), a response “shall be filed by a party within five working days after receipt of the pleading to which the response is made.” However, if the presiding officer </w:t>
      </w:r>
      <w:r w:rsidR="009901BD">
        <w:rPr>
          <w:rFonts w:ascii="Times New Roman" w:hAnsi="Times New Roman" w:cs="Times New Roman"/>
          <w:color w:val="auto"/>
          <w:sz w:val="24"/>
          <w:szCs w:val="24"/>
        </w:rPr>
        <w:t xml:space="preserve">has advised otherwise, the </w:t>
      </w:r>
      <w:r w:rsidR="00AF1EDD">
        <w:rPr>
          <w:rFonts w:ascii="Times New Roman" w:hAnsi="Times New Roman" w:cs="Times New Roman"/>
          <w:color w:val="auto"/>
          <w:sz w:val="24"/>
          <w:szCs w:val="24"/>
        </w:rPr>
        <w:t xml:space="preserve">custom </w:t>
      </w:r>
      <w:r w:rsidR="009901BD">
        <w:rPr>
          <w:rFonts w:ascii="Times New Roman" w:hAnsi="Times New Roman" w:cs="Times New Roman"/>
          <w:color w:val="auto"/>
          <w:sz w:val="24"/>
          <w:szCs w:val="24"/>
        </w:rPr>
        <w:t>deadline set is the official deadline.</w:t>
      </w:r>
      <w:r w:rsidR="00E46542">
        <w:rPr>
          <w:rStyle w:val="FootnoteReference"/>
          <w:rFonts w:ascii="Times New Roman" w:hAnsi="Times New Roman" w:cs="Times New Roman"/>
          <w:color w:val="auto"/>
          <w:sz w:val="24"/>
          <w:szCs w:val="24"/>
        </w:rPr>
        <w:footnoteReference w:id="2"/>
      </w:r>
    </w:p>
    <w:p w14:paraId="76406C78" w14:textId="6D4F2001" w:rsidR="009901BD" w:rsidRDefault="009901BD" w:rsidP="009901BD">
      <w:pPr>
        <w:spacing w:line="480" w:lineRule="auto"/>
        <w:ind w:firstLine="360"/>
        <w:rPr>
          <w:rFonts w:ascii="Times New Roman" w:hAnsi="Times New Roman" w:cs="Times New Roman"/>
          <w:color w:val="auto"/>
          <w:sz w:val="24"/>
          <w:szCs w:val="24"/>
        </w:rPr>
      </w:pPr>
      <w:r>
        <w:rPr>
          <w:rFonts w:ascii="Times New Roman" w:hAnsi="Times New Roman" w:cs="Times New Roman"/>
          <w:color w:val="auto"/>
          <w:sz w:val="24"/>
          <w:szCs w:val="24"/>
        </w:rPr>
        <w:t xml:space="preserve">Here, Administrative Law Judge, </w:t>
      </w:r>
      <w:r w:rsidR="00FC6981">
        <w:rPr>
          <w:rFonts w:ascii="Times New Roman" w:hAnsi="Times New Roman" w:cs="Times New Roman"/>
          <w:color w:val="auto"/>
          <w:sz w:val="24"/>
          <w:szCs w:val="24"/>
        </w:rPr>
        <w:t xml:space="preserve">Gregory R. </w:t>
      </w:r>
      <w:proofErr w:type="spellStart"/>
      <w:r w:rsidR="00FC6981">
        <w:rPr>
          <w:rFonts w:ascii="Times New Roman" w:hAnsi="Times New Roman" w:cs="Times New Roman"/>
          <w:color w:val="auto"/>
          <w:sz w:val="24"/>
          <w:szCs w:val="24"/>
        </w:rPr>
        <w:t>Siemankowski</w:t>
      </w:r>
      <w:proofErr w:type="spellEnd"/>
      <w:r w:rsidR="00FC6981">
        <w:rPr>
          <w:rFonts w:ascii="Times New Roman" w:hAnsi="Times New Roman" w:cs="Times New Roman"/>
          <w:color w:val="auto"/>
          <w:sz w:val="24"/>
          <w:szCs w:val="24"/>
        </w:rPr>
        <w:t>, determined that Conservice must provide evidence supporting its informal motion to dismiss by May 6, 2022. Conservice’s response was timely filed.</w:t>
      </w:r>
      <w:r w:rsidR="0010515B">
        <w:rPr>
          <w:rStyle w:val="FootnoteReference"/>
          <w:rFonts w:ascii="Times New Roman" w:hAnsi="Times New Roman" w:cs="Times New Roman"/>
          <w:color w:val="auto"/>
          <w:sz w:val="24"/>
          <w:szCs w:val="24"/>
        </w:rPr>
        <w:footnoteReference w:id="3"/>
      </w:r>
      <w:r w:rsidR="0010515B">
        <w:rPr>
          <w:rFonts w:ascii="Times New Roman" w:hAnsi="Times New Roman" w:cs="Times New Roman"/>
          <w:color w:val="auto"/>
          <w:sz w:val="24"/>
          <w:szCs w:val="24"/>
        </w:rPr>
        <w:t xml:space="preserve"> Conservice </w:t>
      </w:r>
      <w:r w:rsidR="00F57631">
        <w:rPr>
          <w:rFonts w:ascii="Times New Roman" w:hAnsi="Times New Roman" w:cs="Times New Roman"/>
          <w:color w:val="auto"/>
          <w:sz w:val="24"/>
          <w:szCs w:val="24"/>
        </w:rPr>
        <w:t>submitted arguments support</w:t>
      </w:r>
      <w:r w:rsidR="00B0203A">
        <w:rPr>
          <w:rFonts w:ascii="Times New Roman" w:hAnsi="Times New Roman" w:cs="Times New Roman"/>
          <w:color w:val="auto"/>
          <w:sz w:val="24"/>
          <w:szCs w:val="24"/>
        </w:rPr>
        <w:t>ing</w:t>
      </w:r>
      <w:r w:rsidR="00F57631">
        <w:rPr>
          <w:rFonts w:ascii="Times New Roman" w:hAnsi="Times New Roman" w:cs="Times New Roman"/>
          <w:color w:val="auto"/>
          <w:sz w:val="24"/>
          <w:szCs w:val="24"/>
        </w:rPr>
        <w:t xml:space="preserve"> the claims</w:t>
      </w:r>
      <w:r w:rsidR="0010515B">
        <w:rPr>
          <w:rFonts w:ascii="Times New Roman" w:hAnsi="Times New Roman" w:cs="Times New Roman"/>
          <w:color w:val="auto"/>
          <w:sz w:val="24"/>
          <w:szCs w:val="24"/>
        </w:rPr>
        <w:t xml:space="preserve"> that “</w:t>
      </w:r>
      <w:r w:rsidR="0010515B" w:rsidRPr="00CD37B3">
        <w:rPr>
          <w:rFonts w:ascii="Times New Roman" w:hAnsi="Times New Roman" w:cs="Times New Roman"/>
          <w:color w:val="auto"/>
          <w:sz w:val="24"/>
          <w:szCs w:val="24"/>
        </w:rPr>
        <w:t>(1) Conservice is a third-party utility billing company; and (2) Conservice does not make billing decisions or determines the amounts to be charged for (a) Roscoe Property Management, (b) Gallery Apartments, or (c) for the account of Jeff Connors.</w:t>
      </w:r>
      <w:r w:rsidR="0010515B">
        <w:rPr>
          <w:rFonts w:ascii="Times New Roman" w:hAnsi="Times New Roman" w:cs="Times New Roman"/>
          <w:color w:val="auto"/>
          <w:sz w:val="24"/>
          <w:szCs w:val="24"/>
        </w:rPr>
        <w:t>”</w:t>
      </w:r>
      <w:r w:rsidR="0010515B">
        <w:rPr>
          <w:rStyle w:val="FootnoteReference"/>
          <w:rFonts w:ascii="Times New Roman" w:hAnsi="Times New Roman" w:cs="Times New Roman"/>
          <w:color w:val="auto"/>
          <w:sz w:val="24"/>
          <w:szCs w:val="24"/>
        </w:rPr>
        <w:footnoteReference w:id="4"/>
      </w:r>
      <w:r w:rsidR="00E43A02">
        <w:rPr>
          <w:rFonts w:ascii="Times New Roman" w:hAnsi="Times New Roman" w:cs="Times New Roman"/>
          <w:color w:val="auto"/>
          <w:sz w:val="24"/>
          <w:szCs w:val="24"/>
        </w:rPr>
        <w:t xml:space="preserve"> </w:t>
      </w:r>
      <w:r w:rsidR="005424AC">
        <w:rPr>
          <w:rFonts w:ascii="Times New Roman" w:hAnsi="Times New Roman" w:cs="Times New Roman"/>
          <w:color w:val="auto"/>
          <w:sz w:val="24"/>
          <w:szCs w:val="24"/>
        </w:rPr>
        <w:t xml:space="preserve">The Commission gave PUC a </w:t>
      </w:r>
      <w:r w:rsidR="00F57631">
        <w:rPr>
          <w:rFonts w:ascii="Times New Roman" w:hAnsi="Times New Roman" w:cs="Times New Roman"/>
          <w:color w:val="auto"/>
          <w:sz w:val="24"/>
          <w:szCs w:val="24"/>
        </w:rPr>
        <w:t xml:space="preserve">more extensive timeline of fourteen days compared to the standard five days to respond. </w:t>
      </w:r>
      <w:r w:rsidR="00E43A02">
        <w:rPr>
          <w:rFonts w:ascii="Times New Roman" w:hAnsi="Times New Roman" w:cs="Times New Roman"/>
          <w:color w:val="auto"/>
          <w:sz w:val="24"/>
          <w:szCs w:val="24"/>
        </w:rPr>
        <w:t xml:space="preserve">PUC could </w:t>
      </w:r>
      <w:r w:rsidR="00F57631">
        <w:rPr>
          <w:rFonts w:ascii="Times New Roman" w:hAnsi="Times New Roman" w:cs="Times New Roman"/>
          <w:color w:val="auto"/>
          <w:sz w:val="24"/>
          <w:szCs w:val="24"/>
        </w:rPr>
        <w:t xml:space="preserve">have </w:t>
      </w:r>
      <w:r w:rsidR="00E43A02">
        <w:rPr>
          <w:rFonts w:ascii="Times New Roman" w:hAnsi="Times New Roman" w:cs="Times New Roman"/>
          <w:color w:val="auto"/>
          <w:sz w:val="24"/>
          <w:szCs w:val="24"/>
        </w:rPr>
        <w:t>file</w:t>
      </w:r>
      <w:r w:rsidR="00F57631">
        <w:rPr>
          <w:rFonts w:ascii="Times New Roman" w:hAnsi="Times New Roman" w:cs="Times New Roman"/>
          <w:color w:val="auto"/>
          <w:sz w:val="24"/>
          <w:szCs w:val="24"/>
        </w:rPr>
        <w:t>d</w:t>
      </w:r>
      <w:r w:rsidR="00E43A02">
        <w:rPr>
          <w:rFonts w:ascii="Times New Roman" w:hAnsi="Times New Roman" w:cs="Times New Roman"/>
          <w:color w:val="auto"/>
          <w:sz w:val="24"/>
          <w:szCs w:val="24"/>
        </w:rPr>
        <w:t xml:space="preserve"> a response to the motion until May 20, 2022.</w:t>
      </w:r>
      <w:r w:rsidR="00E43A02">
        <w:rPr>
          <w:rStyle w:val="FootnoteReference"/>
          <w:rFonts w:ascii="Times New Roman" w:hAnsi="Times New Roman" w:cs="Times New Roman"/>
          <w:color w:val="auto"/>
          <w:sz w:val="24"/>
          <w:szCs w:val="24"/>
        </w:rPr>
        <w:footnoteReference w:id="5"/>
      </w:r>
      <w:r w:rsidR="00E43A02">
        <w:rPr>
          <w:rFonts w:ascii="Times New Roman" w:hAnsi="Times New Roman" w:cs="Times New Roman"/>
          <w:color w:val="auto"/>
          <w:sz w:val="24"/>
          <w:szCs w:val="24"/>
        </w:rPr>
        <w:t xml:space="preserve"> However, PUC did not respond until May 27, 2022. </w:t>
      </w:r>
      <w:r w:rsidR="00B13CED">
        <w:rPr>
          <w:rFonts w:ascii="Times New Roman" w:hAnsi="Times New Roman" w:cs="Times New Roman"/>
          <w:color w:val="auto"/>
          <w:sz w:val="24"/>
          <w:szCs w:val="24"/>
        </w:rPr>
        <w:t xml:space="preserve">PUC failed to file their response within the </w:t>
      </w:r>
      <w:r w:rsidR="00165411">
        <w:rPr>
          <w:rFonts w:ascii="Times New Roman" w:hAnsi="Times New Roman" w:cs="Times New Roman"/>
          <w:color w:val="auto"/>
          <w:sz w:val="24"/>
          <w:szCs w:val="24"/>
        </w:rPr>
        <w:t xml:space="preserve">very reasonable allotted time, therefore their response should be denied. </w:t>
      </w:r>
    </w:p>
    <w:p w14:paraId="0F8BC5BF" w14:textId="002DF2DA" w:rsidR="00165411" w:rsidRDefault="00165411" w:rsidP="009901BD">
      <w:pPr>
        <w:spacing w:line="480" w:lineRule="auto"/>
        <w:ind w:firstLine="360"/>
        <w:rPr>
          <w:rFonts w:ascii="Times New Roman" w:hAnsi="Times New Roman" w:cs="Times New Roman"/>
          <w:color w:val="auto"/>
          <w:sz w:val="24"/>
          <w:szCs w:val="24"/>
        </w:rPr>
      </w:pPr>
    </w:p>
    <w:p w14:paraId="7DCA4D17" w14:textId="77777777" w:rsidR="00165411" w:rsidRPr="009901BD" w:rsidRDefault="00165411" w:rsidP="009901BD">
      <w:pPr>
        <w:spacing w:line="480" w:lineRule="auto"/>
        <w:ind w:firstLine="360"/>
        <w:rPr>
          <w:rFonts w:ascii="Times New Roman" w:hAnsi="Times New Roman" w:cs="Times New Roman"/>
          <w:color w:val="auto"/>
          <w:sz w:val="24"/>
          <w:szCs w:val="24"/>
        </w:rPr>
      </w:pPr>
    </w:p>
    <w:p w14:paraId="11BD89F4" w14:textId="23B9C982" w:rsidR="00E84AEA" w:rsidRDefault="00C72A76" w:rsidP="00C72A76">
      <w:pPr>
        <w:spacing w:line="480" w:lineRule="auto"/>
        <w:ind w:firstLine="1080"/>
        <w:jc w:val="center"/>
        <w:rPr>
          <w:rFonts w:ascii="Times New Roman" w:hAnsi="Times New Roman" w:cs="Times New Roman"/>
          <w:color w:val="auto"/>
          <w:sz w:val="24"/>
          <w:szCs w:val="24"/>
        </w:rPr>
      </w:pPr>
      <w:r>
        <w:rPr>
          <w:rFonts w:ascii="Times New Roman" w:hAnsi="Times New Roman" w:cs="Times New Roman"/>
          <w:b/>
          <w:bCs/>
          <w:color w:val="auto"/>
          <w:sz w:val="24"/>
          <w:szCs w:val="24"/>
        </w:rPr>
        <w:t>CONCLUSION</w:t>
      </w:r>
    </w:p>
    <w:p w14:paraId="29743E32" w14:textId="736FE9FA" w:rsidR="00C72A76" w:rsidRDefault="00C72A76" w:rsidP="00C72A76">
      <w:pPr>
        <w:spacing w:line="480" w:lineRule="auto"/>
        <w:rPr>
          <w:rFonts w:ascii="Times New Roman" w:hAnsi="Times New Roman" w:cs="Times New Roman"/>
          <w:color w:val="auto"/>
          <w:sz w:val="24"/>
          <w:szCs w:val="24"/>
        </w:rPr>
      </w:pPr>
      <w:r>
        <w:rPr>
          <w:rFonts w:ascii="Times New Roman" w:hAnsi="Times New Roman" w:cs="Times New Roman"/>
          <w:color w:val="auto"/>
          <w:sz w:val="24"/>
          <w:szCs w:val="24"/>
        </w:rPr>
        <w:tab/>
        <w:t>Conservice respectfully requests that</w:t>
      </w:r>
      <w:r w:rsidR="008F6774">
        <w:rPr>
          <w:rFonts w:ascii="Times New Roman" w:hAnsi="Times New Roman" w:cs="Times New Roman"/>
          <w:color w:val="auto"/>
          <w:sz w:val="24"/>
          <w:szCs w:val="24"/>
        </w:rPr>
        <w:t xml:space="preserve"> the ALJ enter an order </w:t>
      </w:r>
      <w:r w:rsidR="003D0B18">
        <w:rPr>
          <w:rFonts w:ascii="Times New Roman" w:hAnsi="Times New Roman" w:cs="Times New Roman"/>
          <w:color w:val="auto"/>
          <w:sz w:val="24"/>
          <w:szCs w:val="24"/>
        </w:rPr>
        <w:t>denying</w:t>
      </w:r>
      <w:r>
        <w:rPr>
          <w:rFonts w:ascii="Times New Roman" w:hAnsi="Times New Roman" w:cs="Times New Roman"/>
          <w:color w:val="auto"/>
          <w:sz w:val="24"/>
          <w:szCs w:val="24"/>
        </w:rPr>
        <w:t xml:space="preserve"> </w:t>
      </w:r>
      <w:r w:rsidR="000E6862">
        <w:rPr>
          <w:rFonts w:ascii="Times New Roman" w:hAnsi="Times New Roman" w:cs="Times New Roman"/>
          <w:color w:val="auto"/>
          <w:sz w:val="24"/>
          <w:szCs w:val="24"/>
        </w:rPr>
        <w:t>PUC’s response to Conservice’s motion to dismiss and</w:t>
      </w:r>
      <w:r w:rsidR="00A97412">
        <w:rPr>
          <w:rFonts w:ascii="Times New Roman" w:hAnsi="Times New Roman" w:cs="Times New Roman"/>
          <w:color w:val="auto"/>
          <w:sz w:val="24"/>
          <w:szCs w:val="24"/>
        </w:rPr>
        <w:t xml:space="preserve"> </w:t>
      </w:r>
      <w:r w:rsidR="003D0B18">
        <w:rPr>
          <w:rFonts w:ascii="Times New Roman" w:hAnsi="Times New Roman" w:cs="Times New Roman"/>
          <w:color w:val="auto"/>
          <w:sz w:val="24"/>
          <w:szCs w:val="24"/>
        </w:rPr>
        <w:t xml:space="preserve">granting </w:t>
      </w:r>
      <w:r w:rsidR="00F94E81">
        <w:rPr>
          <w:rFonts w:ascii="Times New Roman" w:hAnsi="Times New Roman" w:cs="Times New Roman"/>
          <w:color w:val="auto"/>
          <w:sz w:val="24"/>
          <w:szCs w:val="24"/>
        </w:rPr>
        <w:t>Conservice’s motion to strike PUC’</w:t>
      </w:r>
      <w:r w:rsidR="005A7005">
        <w:rPr>
          <w:rFonts w:ascii="Times New Roman" w:hAnsi="Times New Roman" w:cs="Times New Roman"/>
          <w:color w:val="auto"/>
          <w:sz w:val="24"/>
          <w:szCs w:val="24"/>
        </w:rPr>
        <w:t>s subsequent arguments</w:t>
      </w:r>
      <w:r w:rsidR="003D0B18">
        <w:rPr>
          <w:rFonts w:ascii="Times New Roman" w:hAnsi="Times New Roman" w:cs="Times New Roman"/>
          <w:color w:val="auto"/>
          <w:sz w:val="24"/>
          <w:szCs w:val="24"/>
        </w:rPr>
        <w:t xml:space="preserve"> </w:t>
      </w:r>
      <w:r w:rsidR="00DA2C10">
        <w:rPr>
          <w:rFonts w:ascii="Times New Roman" w:hAnsi="Times New Roman" w:cs="Times New Roman"/>
          <w:color w:val="auto"/>
          <w:sz w:val="24"/>
          <w:szCs w:val="24"/>
        </w:rPr>
        <w:t xml:space="preserve">for PUC’s failure to abide by </w:t>
      </w:r>
      <w:r w:rsidR="004D7044">
        <w:rPr>
          <w:rFonts w:ascii="Times New Roman" w:hAnsi="Times New Roman" w:cs="Times New Roman"/>
          <w:color w:val="auto"/>
          <w:sz w:val="24"/>
          <w:szCs w:val="24"/>
        </w:rPr>
        <w:t>Order No. 13</w:t>
      </w:r>
      <w:r w:rsidR="00861E61">
        <w:rPr>
          <w:rFonts w:ascii="Times New Roman" w:hAnsi="Times New Roman" w:cs="Times New Roman"/>
          <w:color w:val="auto"/>
          <w:sz w:val="24"/>
          <w:szCs w:val="24"/>
        </w:rPr>
        <w:t xml:space="preserve">. </w:t>
      </w:r>
    </w:p>
    <w:p w14:paraId="0CFDCFBC" w14:textId="77777777" w:rsidR="0013536B" w:rsidRPr="0013536B" w:rsidRDefault="00021B5E" w:rsidP="0013536B">
      <w:pPr>
        <w:spacing w:line="480" w:lineRule="auto"/>
        <w:rPr>
          <w:rFonts w:ascii="Times New Roman" w:hAnsi="Times New Roman" w:cs="Times New Roman"/>
          <w:b/>
          <w:color w:val="151515" w:themeColor="background1" w:themeShade="1A"/>
          <w:sz w:val="24"/>
          <w:szCs w:val="24"/>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roofErr w:type="gramStart"/>
      <w:r w:rsidR="0013536B" w:rsidRPr="0013536B">
        <w:rPr>
          <w:rFonts w:ascii="Times New Roman" w:hAnsi="Times New Roman" w:cs="Times New Roman"/>
          <w:b/>
          <w:color w:val="151515" w:themeColor="background1" w:themeShade="1A"/>
          <w:sz w:val="24"/>
          <w:szCs w:val="24"/>
        </w:rPr>
        <w:t>SUBMITTED :</w:t>
      </w:r>
      <w:proofErr w:type="gramEnd"/>
    </w:p>
    <w:p w14:paraId="00170451" w14:textId="23AA05E0" w:rsidR="0013536B" w:rsidRPr="00CF2E70" w:rsidRDefault="0013536B" w:rsidP="00CF2E70">
      <w:pPr>
        <w:spacing w:before="0" w:after="0"/>
        <w:rPr>
          <w:rFonts w:ascii="Times New Roman" w:eastAsia="Times New Roman" w:hAnsi="Times New Roman" w:cs="Times New Roman"/>
          <w:color w:val="auto"/>
          <w:sz w:val="24"/>
          <w:szCs w:val="24"/>
        </w:rPr>
      </w:pPr>
    </w:p>
    <w:p w14:paraId="21F4DFFE" w14:textId="44B0145D" w:rsidR="0013536B" w:rsidRPr="00DE66E5" w:rsidRDefault="00FD0C11" w:rsidP="003022F8">
      <w:pPr>
        <w:ind w:left="5040"/>
        <w:rPr>
          <w:rFonts w:ascii="Times New Roman" w:hAnsi="Times New Roman" w:cs="Times New Roman"/>
          <w:b/>
          <w:color w:val="151515" w:themeColor="background1" w:themeShade="1A"/>
          <w:sz w:val="24"/>
          <w:szCs w:val="24"/>
          <w:u w:val="single"/>
        </w:rPr>
      </w:pPr>
      <w:r>
        <w:rPr>
          <w:rFonts w:ascii="Times New Roman" w:eastAsia="Times New Roman" w:hAnsi="Times New Roman" w:cs="Times New Roman"/>
          <w:color w:val="auto"/>
          <w:sz w:val="24"/>
          <w:szCs w:val="24"/>
        </w:rPr>
        <w:t xml:space="preserve">By: </w:t>
      </w:r>
      <w:r w:rsidR="00DE66E5" w:rsidRPr="00CF2E70">
        <w:rPr>
          <w:rFonts w:ascii="Times New Roman" w:eastAsia="Times New Roman" w:hAnsi="Times New Roman" w:cs="Times New Roman"/>
          <w:color w:val="auto"/>
          <w:sz w:val="24"/>
          <w:szCs w:val="24"/>
          <w:u w:val="single"/>
        </w:rPr>
        <w:fldChar w:fldCharType="begin"/>
      </w:r>
      <w:r w:rsidR="00DE66E5" w:rsidRPr="00CF2E70">
        <w:rPr>
          <w:rFonts w:ascii="Times New Roman" w:eastAsia="Times New Roman" w:hAnsi="Times New Roman" w:cs="Times New Roman"/>
          <w:color w:val="auto"/>
          <w:sz w:val="24"/>
          <w:szCs w:val="24"/>
          <w:u w:val="single"/>
        </w:rPr>
        <w:instrText xml:space="preserve"> INCLUDEPICTURE "/var/folders/dx/z5xc58yd085ffx03k9ty59ww0000gn/T/com.microsoft.Word/WebArchiveCopyPasteTempFiles/page1image513976864" \* MERGEFORMATINET </w:instrText>
      </w:r>
      <w:r w:rsidR="00DE66E5" w:rsidRPr="00CF2E70">
        <w:rPr>
          <w:rFonts w:ascii="Times New Roman" w:eastAsia="Times New Roman" w:hAnsi="Times New Roman" w:cs="Times New Roman"/>
          <w:color w:val="auto"/>
          <w:sz w:val="24"/>
          <w:szCs w:val="24"/>
          <w:u w:val="single"/>
        </w:rPr>
        <w:fldChar w:fldCharType="separate"/>
      </w:r>
      <w:r w:rsidR="00DE66E5" w:rsidRPr="00FD0C11">
        <w:rPr>
          <w:rFonts w:ascii="Times New Roman" w:eastAsia="Times New Roman" w:hAnsi="Times New Roman" w:cs="Times New Roman"/>
          <w:noProof/>
          <w:color w:val="auto"/>
          <w:sz w:val="24"/>
          <w:szCs w:val="24"/>
          <w:u w:val="single"/>
        </w:rPr>
        <w:drawing>
          <wp:inline distT="0" distB="0" distL="0" distR="0" wp14:anchorId="3AA67345" wp14:editId="1EA10060">
            <wp:extent cx="1414145" cy="575310"/>
            <wp:effectExtent l="0" t="0" r="0" b="0"/>
            <wp:docPr id="3" name="Picture 3" descr="page1image513976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age1image51397686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14145" cy="575310"/>
                    </a:xfrm>
                    <a:prstGeom prst="rect">
                      <a:avLst/>
                    </a:prstGeom>
                    <a:noFill/>
                    <a:ln>
                      <a:noFill/>
                    </a:ln>
                  </pic:spPr>
                </pic:pic>
              </a:graphicData>
            </a:graphic>
          </wp:inline>
        </w:drawing>
      </w:r>
      <w:r w:rsidR="00DE66E5" w:rsidRPr="00CF2E70">
        <w:rPr>
          <w:rFonts w:ascii="Times New Roman" w:eastAsia="Times New Roman" w:hAnsi="Times New Roman" w:cs="Times New Roman"/>
          <w:color w:val="auto"/>
          <w:sz w:val="24"/>
          <w:szCs w:val="24"/>
          <w:u w:val="single"/>
        </w:rPr>
        <w:fldChar w:fldCharType="end"/>
      </w:r>
    </w:p>
    <w:p w14:paraId="4A41CE8B" w14:textId="77777777" w:rsidR="0013536B" w:rsidRPr="0013536B" w:rsidRDefault="0013536B" w:rsidP="0013536B">
      <w:pPr>
        <w:ind w:left="5040"/>
        <w:rPr>
          <w:rFonts w:ascii="Times New Roman" w:hAnsi="Times New Roman" w:cs="Times New Roman"/>
          <w:color w:val="151515" w:themeColor="background1" w:themeShade="1A"/>
          <w:sz w:val="24"/>
          <w:szCs w:val="24"/>
        </w:rPr>
      </w:pPr>
      <w:r w:rsidRPr="0013536B">
        <w:rPr>
          <w:rFonts w:ascii="Times New Roman" w:hAnsi="Times New Roman" w:cs="Times New Roman"/>
          <w:color w:val="151515" w:themeColor="background1" w:themeShade="1A"/>
          <w:sz w:val="24"/>
          <w:szCs w:val="24"/>
        </w:rPr>
        <w:t>Julianna Kat</w:t>
      </w:r>
    </w:p>
    <w:p w14:paraId="599D77F9" w14:textId="77777777" w:rsidR="0013536B" w:rsidRPr="0013536B" w:rsidRDefault="0013536B" w:rsidP="0013536B">
      <w:pPr>
        <w:ind w:left="5040"/>
        <w:rPr>
          <w:rFonts w:ascii="Times New Roman" w:hAnsi="Times New Roman" w:cs="Times New Roman"/>
          <w:color w:val="151515" w:themeColor="background1" w:themeShade="1A"/>
          <w:sz w:val="24"/>
          <w:szCs w:val="24"/>
        </w:rPr>
      </w:pPr>
    </w:p>
    <w:p w14:paraId="09105E42" w14:textId="77777777" w:rsidR="0013536B" w:rsidRPr="0013536B" w:rsidRDefault="0013536B" w:rsidP="0013536B">
      <w:pPr>
        <w:ind w:left="5040"/>
        <w:rPr>
          <w:rFonts w:ascii="Times New Roman" w:hAnsi="Times New Roman" w:cs="Times New Roman"/>
          <w:color w:val="151515" w:themeColor="background1" w:themeShade="1A"/>
          <w:sz w:val="24"/>
          <w:szCs w:val="24"/>
        </w:rPr>
      </w:pPr>
      <w:r w:rsidRPr="0013536B">
        <w:rPr>
          <w:rFonts w:ascii="Times New Roman" w:hAnsi="Times New Roman" w:cs="Times New Roman"/>
          <w:color w:val="151515" w:themeColor="background1" w:themeShade="1A"/>
          <w:sz w:val="24"/>
          <w:szCs w:val="24"/>
        </w:rPr>
        <w:t>9950 Scripps Lake Dr. #101</w:t>
      </w:r>
    </w:p>
    <w:p w14:paraId="53FCB270" w14:textId="77777777" w:rsidR="0013536B" w:rsidRPr="0013536B" w:rsidRDefault="0013536B" w:rsidP="0013536B">
      <w:pPr>
        <w:ind w:left="5040"/>
        <w:rPr>
          <w:rFonts w:ascii="Times New Roman" w:hAnsi="Times New Roman" w:cs="Times New Roman"/>
          <w:color w:val="151515" w:themeColor="background1" w:themeShade="1A"/>
          <w:sz w:val="24"/>
          <w:szCs w:val="24"/>
        </w:rPr>
      </w:pPr>
      <w:r w:rsidRPr="0013536B">
        <w:rPr>
          <w:rFonts w:ascii="Times New Roman" w:hAnsi="Times New Roman" w:cs="Times New Roman"/>
          <w:color w:val="151515" w:themeColor="background1" w:themeShade="1A"/>
          <w:sz w:val="24"/>
          <w:szCs w:val="24"/>
        </w:rPr>
        <w:t>San Diego, CA 92131</w:t>
      </w:r>
    </w:p>
    <w:p w14:paraId="20564FD3" w14:textId="77777777" w:rsidR="0013536B" w:rsidRPr="0013536B" w:rsidRDefault="0013536B" w:rsidP="0013536B">
      <w:pPr>
        <w:ind w:left="5040"/>
        <w:rPr>
          <w:rFonts w:ascii="Times New Roman" w:hAnsi="Times New Roman" w:cs="Times New Roman"/>
          <w:color w:val="151515" w:themeColor="background1" w:themeShade="1A"/>
          <w:sz w:val="24"/>
          <w:szCs w:val="24"/>
        </w:rPr>
      </w:pPr>
      <w:r w:rsidRPr="0013536B">
        <w:rPr>
          <w:rFonts w:ascii="Times New Roman" w:hAnsi="Times New Roman" w:cs="Times New Roman"/>
          <w:color w:val="151515" w:themeColor="background1" w:themeShade="1A"/>
          <w:sz w:val="24"/>
          <w:szCs w:val="24"/>
        </w:rPr>
        <w:t>(435) 716-7374</w:t>
      </w:r>
    </w:p>
    <w:p w14:paraId="2A412307" w14:textId="77777777" w:rsidR="0013536B" w:rsidRPr="0013536B" w:rsidRDefault="0013536B" w:rsidP="0013536B">
      <w:pPr>
        <w:ind w:left="5040"/>
        <w:rPr>
          <w:rFonts w:ascii="Times New Roman" w:hAnsi="Times New Roman" w:cs="Times New Roman"/>
          <w:color w:val="151515" w:themeColor="background1" w:themeShade="1A"/>
          <w:sz w:val="24"/>
          <w:szCs w:val="24"/>
        </w:rPr>
      </w:pPr>
      <w:r w:rsidRPr="0013536B">
        <w:rPr>
          <w:rFonts w:ascii="Times New Roman" w:hAnsi="Times New Roman" w:cs="Times New Roman"/>
          <w:color w:val="151515" w:themeColor="background1" w:themeShade="1A"/>
          <w:sz w:val="24"/>
          <w:szCs w:val="24"/>
        </w:rPr>
        <w:t>jkat@conservice.com</w:t>
      </w:r>
    </w:p>
    <w:p w14:paraId="5F981E26" w14:textId="77777777" w:rsidR="0013536B" w:rsidRPr="0013536B" w:rsidRDefault="0013536B" w:rsidP="0013536B">
      <w:pPr>
        <w:tabs>
          <w:tab w:val="left" w:pos="450"/>
          <w:tab w:val="left" w:pos="540"/>
        </w:tabs>
        <w:spacing w:line="480" w:lineRule="auto"/>
        <w:jc w:val="both"/>
        <w:rPr>
          <w:rFonts w:ascii="Times New Roman" w:hAnsi="Times New Roman" w:cs="Times New Roman"/>
          <w:color w:val="151515" w:themeColor="background1" w:themeShade="1A"/>
        </w:rPr>
      </w:pPr>
    </w:p>
    <w:p w14:paraId="69C971DE" w14:textId="77777777" w:rsidR="0013536B" w:rsidRPr="0013536B" w:rsidRDefault="0013536B" w:rsidP="0013536B">
      <w:pPr>
        <w:jc w:val="center"/>
        <w:rPr>
          <w:rFonts w:ascii="Times New Roman" w:hAnsi="Times New Roman" w:cs="Times New Roman"/>
          <w:b/>
          <w:color w:val="151515" w:themeColor="background1" w:themeShade="1A"/>
        </w:rPr>
      </w:pPr>
    </w:p>
    <w:p w14:paraId="70223839" w14:textId="77777777" w:rsidR="0013536B" w:rsidRPr="0013536B" w:rsidRDefault="0013536B" w:rsidP="0013536B">
      <w:pPr>
        <w:jc w:val="center"/>
        <w:rPr>
          <w:rFonts w:ascii="Times New Roman" w:hAnsi="Times New Roman" w:cs="Times New Roman"/>
          <w:b/>
          <w:color w:val="151515" w:themeColor="background1" w:themeShade="1A"/>
        </w:rPr>
      </w:pPr>
    </w:p>
    <w:p w14:paraId="6BD3D618" w14:textId="77777777" w:rsidR="0013536B" w:rsidRPr="0013536B" w:rsidRDefault="0013536B" w:rsidP="0013536B">
      <w:pPr>
        <w:jc w:val="center"/>
        <w:rPr>
          <w:rFonts w:ascii="Times New Roman" w:hAnsi="Times New Roman" w:cs="Times New Roman"/>
          <w:b/>
          <w:color w:val="151515" w:themeColor="background1" w:themeShade="1A"/>
        </w:rPr>
      </w:pPr>
    </w:p>
    <w:p w14:paraId="38C94C6F" w14:textId="359979AF" w:rsidR="0013536B" w:rsidRPr="0013536B" w:rsidRDefault="0013536B" w:rsidP="0013536B">
      <w:pPr>
        <w:jc w:val="center"/>
        <w:rPr>
          <w:rFonts w:ascii="Times New Roman" w:hAnsi="Times New Roman" w:cs="Times New Roman"/>
          <w:b/>
          <w:color w:val="151515" w:themeColor="background1" w:themeShade="1A"/>
        </w:rPr>
      </w:pPr>
      <w:r w:rsidRPr="0013536B">
        <w:rPr>
          <w:rFonts w:ascii="Times New Roman" w:hAnsi="Times New Roman" w:cs="Times New Roman"/>
          <w:b/>
          <w:color w:val="151515" w:themeColor="background1" w:themeShade="1A"/>
        </w:rPr>
        <w:t xml:space="preserve">P.U.C DOCKET NO. </w:t>
      </w:r>
      <w:r w:rsidR="007A2CD6" w:rsidRPr="00CD37B3">
        <w:rPr>
          <w:rFonts w:ascii="Times New Roman" w:eastAsia="Times New Roman" w:hAnsi="Times New Roman" w:cs="Times New Roman"/>
          <w:b/>
          <w:bCs/>
          <w:color w:val="auto"/>
          <w:sz w:val="24"/>
          <w:szCs w:val="24"/>
        </w:rPr>
        <w:t>51619</w:t>
      </w:r>
    </w:p>
    <w:p w14:paraId="1D85FF97" w14:textId="77777777" w:rsidR="0013536B" w:rsidRPr="0013536B" w:rsidRDefault="0013536B" w:rsidP="0013536B">
      <w:pPr>
        <w:tabs>
          <w:tab w:val="left" w:pos="450"/>
          <w:tab w:val="left" w:pos="540"/>
        </w:tabs>
        <w:spacing w:line="480" w:lineRule="auto"/>
        <w:jc w:val="center"/>
        <w:rPr>
          <w:rFonts w:ascii="Times New Roman" w:hAnsi="Times New Roman" w:cs="Times New Roman"/>
          <w:b/>
          <w:color w:val="151515" w:themeColor="background1" w:themeShade="1A"/>
        </w:rPr>
      </w:pPr>
      <w:r w:rsidRPr="0013536B">
        <w:rPr>
          <w:rFonts w:ascii="Times New Roman" w:hAnsi="Times New Roman" w:cs="Times New Roman"/>
          <w:b/>
          <w:color w:val="151515" w:themeColor="background1" w:themeShade="1A"/>
        </w:rPr>
        <w:t>CERTIFICATE OF SERVICE</w:t>
      </w:r>
    </w:p>
    <w:p w14:paraId="38AAFF59" w14:textId="2391E1E4" w:rsidR="0013536B" w:rsidRPr="0013536B" w:rsidRDefault="0013536B" w:rsidP="0013536B">
      <w:pPr>
        <w:tabs>
          <w:tab w:val="left" w:pos="450"/>
          <w:tab w:val="left" w:pos="540"/>
        </w:tabs>
        <w:spacing w:line="480" w:lineRule="auto"/>
        <w:jc w:val="both"/>
        <w:rPr>
          <w:rFonts w:ascii="Times New Roman" w:hAnsi="Times New Roman" w:cs="Times New Roman"/>
          <w:color w:val="151515" w:themeColor="background1" w:themeShade="1A"/>
        </w:rPr>
      </w:pPr>
      <w:r w:rsidRPr="0013536B">
        <w:rPr>
          <w:rFonts w:ascii="Times New Roman" w:hAnsi="Times New Roman" w:cs="Times New Roman"/>
          <w:b/>
          <w:color w:val="151515" w:themeColor="background1" w:themeShade="1A"/>
        </w:rPr>
        <w:tab/>
      </w:r>
      <w:r w:rsidRPr="0013536B">
        <w:rPr>
          <w:rFonts w:ascii="Times New Roman" w:hAnsi="Times New Roman" w:cs="Times New Roman"/>
          <w:color w:val="151515" w:themeColor="background1" w:themeShade="1A"/>
        </w:rPr>
        <w:t xml:space="preserve">I certify that a copy of this document was served on all parties of record on </w:t>
      </w:r>
      <w:r w:rsidR="00EF6BEA">
        <w:rPr>
          <w:rFonts w:ascii="Times New Roman" w:hAnsi="Times New Roman" w:cs="Times New Roman"/>
          <w:color w:val="151515" w:themeColor="background1" w:themeShade="1A"/>
        </w:rPr>
        <w:t>June 1</w:t>
      </w:r>
      <w:r w:rsidRPr="0013536B">
        <w:rPr>
          <w:rFonts w:ascii="Times New Roman" w:hAnsi="Times New Roman" w:cs="Times New Roman"/>
          <w:color w:val="151515" w:themeColor="background1" w:themeShade="1A"/>
        </w:rPr>
        <w:t xml:space="preserve">, 2022, in accordance with the requirements of 16 TAC § 22.74. </w:t>
      </w:r>
    </w:p>
    <w:p w14:paraId="1312DBB7" w14:textId="77777777" w:rsidR="0013536B" w:rsidRPr="0013536B" w:rsidRDefault="0013536B" w:rsidP="0013536B">
      <w:pPr>
        <w:tabs>
          <w:tab w:val="left" w:pos="450"/>
          <w:tab w:val="left" w:pos="540"/>
        </w:tabs>
        <w:spacing w:line="480" w:lineRule="auto"/>
        <w:jc w:val="both"/>
        <w:rPr>
          <w:rFonts w:ascii="Times New Roman" w:hAnsi="Times New Roman" w:cs="Times New Roman"/>
          <w:color w:val="151515" w:themeColor="background1" w:themeShade="1A"/>
        </w:rPr>
      </w:pPr>
    </w:p>
    <w:p w14:paraId="5583C1E9" w14:textId="77777777" w:rsidR="0013536B" w:rsidRPr="0013536B" w:rsidRDefault="0013536B" w:rsidP="0013536B">
      <w:pPr>
        <w:tabs>
          <w:tab w:val="left" w:pos="450"/>
          <w:tab w:val="left" w:pos="540"/>
        </w:tabs>
        <w:spacing w:line="480" w:lineRule="auto"/>
        <w:jc w:val="both"/>
        <w:rPr>
          <w:rFonts w:ascii="Times New Roman" w:hAnsi="Times New Roman" w:cs="Times New Roman"/>
          <w:color w:val="151515" w:themeColor="background1" w:themeShade="1A"/>
        </w:rPr>
      </w:pPr>
      <w:r w:rsidRPr="0013536B">
        <w:rPr>
          <w:rFonts w:ascii="Times New Roman" w:hAnsi="Times New Roman" w:cs="Times New Roman"/>
          <w:color w:val="151515" w:themeColor="background1" w:themeShade="1A"/>
        </w:rPr>
        <w:tab/>
      </w:r>
      <w:r w:rsidRPr="0013536B">
        <w:rPr>
          <w:rFonts w:ascii="Times New Roman" w:hAnsi="Times New Roman" w:cs="Times New Roman"/>
          <w:color w:val="151515" w:themeColor="background1" w:themeShade="1A"/>
        </w:rPr>
        <w:tab/>
      </w:r>
      <w:r w:rsidRPr="0013536B">
        <w:rPr>
          <w:rFonts w:ascii="Times New Roman" w:hAnsi="Times New Roman" w:cs="Times New Roman"/>
          <w:color w:val="151515" w:themeColor="background1" w:themeShade="1A"/>
        </w:rPr>
        <w:tab/>
      </w:r>
      <w:r w:rsidRPr="0013536B">
        <w:rPr>
          <w:rFonts w:ascii="Times New Roman" w:hAnsi="Times New Roman" w:cs="Times New Roman"/>
          <w:color w:val="151515" w:themeColor="background1" w:themeShade="1A"/>
        </w:rPr>
        <w:tab/>
      </w:r>
      <w:r w:rsidRPr="0013536B">
        <w:rPr>
          <w:rFonts w:ascii="Times New Roman" w:hAnsi="Times New Roman" w:cs="Times New Roman"/>
          <w:color w:val="151515" w:themeColor="background1" w:themeShade="1A"/>
        </w:rPr>
        <w:tab/>
      </w:r>
      <w:r w:rsidRPr="0013536B">
        <w:rPr>
          <w:rFonts w:ascii="Times New Roman" w:hAnsi="Times New Roman" w:cs="Times New Roman"/>
          <w:color w:val="151515" w:themeColor="background1" w:themeShade="1A"/>
        </w:rPr>
        <w:tab/>
      </w:r>
      <w:r w:rsidRPr="0013536B">
        <w:rPr>
          <w:rFonts w:ascii="Times New Roman" w:hAnsi="Times New Roman" w:cs="Times New Roman"/>
          <w:color w:val="151515" w:themeColor="background1" w:themeShade="1A"/>
        </w:rPr>
        <w:tab/>
      </w:r>
      <w:r w:rsidRPr="0013536B">
        <w:rPr>
          <w:rFonts w:ascii="Times New Roman" w:hAnsi="Times New Roman" w:cs="Times New Roman"/>
          <w:color w:val="151515" w:themeColor="background1" w:themeShade="1A"/>
        </w:rPr>
        <w:tab/>
      </w:r>
      <w:r w:rsidRPr="0013536B">
        <w:rPr>
          <w:rFonts w:ascii="Times New Roman" w:hAnsi="Times New Roman" w:cs="Times New Roman"/>
          <w:color w:val="151515" w:themeColor="background1" w:themeShade="1A"/>
        </w:rPr>
        <w:tab/>
        <w:t>_____________________</w:t>
      </w:r>
    </w:p>
    <w:p w14:paraId="3AB2FDF5" w14:textId="77777777" w:rsidR="0013536B" w:rsidRPr="0013536B" w:rsidRDefault="0013536B" w:rsidP="0013536B">
      <w:pPr>
        <w:tabs>
          <w:tab w:val="left" w:pos="450"/>
          <w:tab w:val="left" w:pos="540"/>
        </w:tabs>
        <w:spacing w:line="480" w:lineRule="auto"/>
        <w:jc w:val="both"/>
        <w:rPr>
          <w:rFonts w:ascii="Times New Roman" w:hAnsi="Times New Roman" w:cs="Times New Roman"/>
          <w:color w:val="151515" w:themeColor="background1" w:themeShade="1A"/>
        </w:rPr>
      </w:pPr>
      <w:r w:rsidRPr="0013536B">
        <w:rPr>
          <w:rFonts w:ascii="Times New Roman" w:hAnsi="Times New Roman" w:cs="Times New Roman"/>
          <w:color w:val="151515" w:themeColor="background1" w:themeShade="1A"/>
        </w:rPr>
        <w:tab/>
      </w:r>
      <w:r w:rsidRPr="0013536B">
        <w:rPr>
          <w:rFonts w:ascii="Times New Roman" w:hAnsi="Times New Roman" w:cs="Times New Roman"/>
          <w:color w:val="151515" w:themeColor="background1" w:themeShade="1A"/>
        </w:rPr>
        <w:tab/>
      </w:r>
      <w:r w:rsidRPr="0013536B">
        <w:rPr>
          <w:rFonts w:ascii="Times New Roman" w:hAnsi="Times New Roman" w:cs="Times New Roman"/>
          <w:color w:val="151515" w:themeColor="background1" w:themeShade="1A"/>
        </w:rPr>
        <w:tab/>
      </w:r>
      <w:r w:rsidRPr="0013536B">
        <w:rPr>
          <w:rFonts w:ascii="Times New Roman" w:hAnsi="Times New Roman" w:cs="Times New Roman"/>
          <w:color w:val="151515" w:themeColor="background1" w:themeShade="1A"/>
        </w:rPr>
        <w:tab/>
      </w:r>
      <w:r w:rsidRPr="0013536B">
        <w:rPr>
          <w:rFonts w:ascii="Times New Roman" w:hAnsi="Times New Roman" w:cs="Times New Roman"/>
          <w:color w:val="151515" w:themeColor="background1" w:themeShade="1A"/>
        </w:rPr>
        <w:tab/>
      </w:r>
      <w:r w:rsidRPr="0013536B">
        <w:rPr>
          <w:rFonts w:ascii="Times New Roman" w:hAnsi="Times New Roman" w:cs="Times New Roman"/>
          <w:color w:val="151515" w:themeColor="background1" w:themeShade="1A"/>
        </w:rPr>
        <w:tab/>
      </w:r>
      <w:r w:rsidRPr="0013536B">
        <w:rPr>
          <w:rFonts w:ascii="Times New Roman" w:hAnsi="Times New Roman" w:cs="Times New Roman"/>
          <w:color w:val="151515" w:themeColor="background1" w:themeShade="1A"/>
        </w:rPr>
        <w:tab/>
      </w:r>
      <w:r w:rsidRPr="0013536B">
        <w:rPr>
          <w:rFonts w:ascii="Times New Roman" w:hAnsi="Times New Roman" w:cs="Times New Roman"/>
          <w:color w:val="151515" w:themeColor="background1" w:themeShade="1A"/>
        </w:rPr>
        <w:tab/>
      </w:r>
      <w:r w:rsidRPr="0013536B">
        <w:rPr>
          <w:rFonts w:ascii="Times New Roman" w:hAnsi="Times New Roman" w:cs="Times New Roman"/>
          <w:color w:val="151515" w:themeColor="background1" w:themeShade="1A"/>
        </w:rPr>
        <w:tab/>
        <w:t>Julianna Kat</w:t>
      </w:r>
    </w:p>
    <w:p w14:paraId="7FC57292" w14:textId="77777777" w:rsidR="0013536B" w:rsidRPr="0013536B" w:rsidRDefault="0013536B" w:rsidP="0013536B">
      <w:pPr>
        <w:ind w:left="5040"/>
        <w:rPr>
          <w:rFonts w:ascii="Times New Roman" w:hAnsi="Times New Roman" w:cs="Times New Roman"/>
          <w:color w:val="151515" w:themeColor="background1" w:themeShade="1A"/>
        </w:rPr>
      </w:pPr>
      <w:r w:rsidRPr="0013536B">
        <w:rPr>
          <w:rFonts w:ascii="Times New Roman" w:hAnsi="Times New Roman" w:cs="Times New Roman"/>
          <w:color w:val="151515" w:themeColor="background1" w:themeShade="1A"/>
        </w:rPr>
        <w:t>9950 Scripps Lake Dr. #101</w:t>
      </w:r>
    </w:p>
    <w:p w14:paraId="54C951AF" w14:textId="77777777" w:rsidR="0013536B" w:rsidRPr="0013536B" w:rsidRDefault="0013536B" w:rsidP="0013536B">
      <w:pPr>
        <w:ind w:left="5040"/>
        <w:rPr>
          <w:rFonts w:ascii="Times New Roman" w:hAnsi="Times New Roman" w:cs="Times New Roman"/>
          <w:color w:val="151515" w:themeColor="background1" w:themeShade="1A"/>
        </w:rPr>
      </w:pPr>
      <w:r w:rsidRPr="0013536B">
        <w:rPr>
          <w:rFonts w:ascii="Times New Roman" w:hAnsi="Times New Roman" w:cs="Times New Roman"/>
          <w:color w:val="151515" w:themeColor="background1" w:themeShade="1A"/>
        </w:rPr>
        <w:t>San Diego, CA 92131</w:t>
      </w:r>
    </w:p>
    <w:p w14:paraId="4A4F9026" w14:textId="77777777" w:rsidR="0013536B" w:rsidRPr="0013536B" w:rsidRDefault="0013536B" w:rsidP="0013536B">
      <w:pPr>
        <w:ind w:left="5040"/>
        <w:rPr>
          <w:rFonts w:ascii="Times New Roman" w:hAnsi="Times New Roman" w:cs="Times New Roman"/>
          <w:color w:val="151515" w:themeColor="background1" w:themeShade="1A"/>
        </w:rPr>
      </w:pPr>
      <w:r w:rsidRPr="0013536B">
        <w:rPr>
          <w:rFonts w:ascii="Times New Roman" w:hAnsi="Times New Roman" w:cs="Times New Roman"/>
          <w:color w:val="151515" w:themeColor="background1" w:themeShade="1A"/>
        </w:rPr>
        <w:t>(435) 716-7374</w:t>
      </w:r>
    </w:p>
    <w:p w14:paraId="62A84A64" w14:textId="22AE8204" w:rsidR="00021B5E" w:rsidRPr="0013536B" w:rsidRDefault="0013536B" w:rsidP="0013536B">
      <w:pPr>
        <w:ind w:left="5040"/>
        <w:rPr>
          <w:rFonts w:ascii="Times New Roman" w:hAnsi="Times New Roman" w:cs="Times New Roman"/>
          <w:color w:val="151515" w:themeColor="background1" w:themeShade="1A"/>
        </w:rPr>
      </w:pPr>
      <w:r w:rsidRPr="0013536B">
        <w:rPr>
          <w:rFonts w:ascii="Times New Roman" w:hAnsi="Times New Roman" w:cs="Times New Roman"/>
          <w:color w:val="151515" w:themeColor="background1" w:themeShade="1A"/>
        </w:rPr>
        <w:t>jkat@conservice.com</w:t>
      </w:r>
    </w:p>
    <w:p w14:paraId="27700DCA" w14:textId="77777777" w:rsidR="00021B5E" w:rsidRPr="00C72A76" w:rsidRDefault="00021B5E" w:rsidP="00021B5E">
      <w:pPr>
        <w:spacing w:line="480" w:lineRule="auto"/>
        <w:jc w:val="right"/>
        <w:rPr>
          <w:rFonts w:ascii="Times New Roman" w:hAnsi="Times New Roman" w:cs="Times New Roman"/>
          <w:color w:val="auto"/>
          <w:sz w:val="24"/>
          <w:szCs w:val="24"/>
        </w:rPr>
      </w:pPr>
    </w:p>
    <w:sectPr w:rsidR="00021B5E" w:rsidRPr="00C72A76">
      <w:headerReference w:type="default" r:id="rId9"/>
      <w:footerReference w:type="even" r:id="rId10"/>
      <w:footerReference w:type="default" r:id="rId11"/>
      <w:pgSz w:w="12240" w:h="15840"/>
      <w:pgMar w:top="2160" w:right="936" w:bottom="1440" w:left="93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92E0C" w14:textId="77777777" w:rsidR="001629EA" w:rsidRDefault="001629EA">
      <w:pPr>
        <w:spacing w:before="0" w:after="0"/>
      </w:pPr>
      <w:r>
        <w:separator/>
      </w:r>
    </w:p>
  </w:endnote>
  <w:endnote w:type="continuationSeparator" w:id="0">
    <w:p w14:paraId="7743B49E" w14:textId="77777777" w:rsidR="001629EA" w:rsidRDefault="001629E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Helvetica LT Std Cond">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448236026"/>
      <w:docPartObj>
        <w:docPartGallery w:val="Page Numbers (Bottom of Page)"/>
        <w:docPartUnique/>
      </w:docPartObj>
    </w:sdtPr>
    <w:sdtEndPr>
      <w:rPr>
        <w:rStyle w:val="PageNumber"/>
      </w:rPr>
    </w:sdtEndPr>
    <w:sdtContent>
      <w:p w14:paraId="446B3F7F" w14:textId="15A8763B" w:rsidR="009B0E4A" w:rsidRDefault="009B0E4A" w:rsidP="008C5E65">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9029DC5" w14:textId="77777777" w:rsidR="009B0E4A" w:rsidRDefault="009B0E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23949238"/>
      <w:docPartObj>
        <w:docPartGallery w:val="Page Numbers (Bottom of Page)"/>
        <w:docPartUnique/>
      </w:docPartObj>
    </w:sdtPr>
    <w:sdtEndPr>
      <w:rPr>
        <w:rStyle w:val="PageNumber"/>
      </w:rPr>
    </w:sdtEndPr>
    <w:sdtContent>
      <w:p w14:paraId="5A87CE9F" w14:textId="3CA66C97" w:rsidR="009B0E4A" w:rsidRDefault="009B0E4A" w:rsidP="008C5E65">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p>
    </w:sdtContent>
  </w:sdt>
  <w:p w14:paraId="78C23510" w14:textId="77777777" w:rsidR="003A2CD4" w:rsidRDefault="00D045D3">
    <w:pPr>
      <w:rPr>
        <w:color w:val="555759"/>
      </w:rPr>
    </w:pPr>
    <w:r>
      <w:rPr>
        <w:noProof/>
      </w:rPr>
      <w:drawing>
        <wp:anchor distT="0" distB="0" distL="0" distR="0" simplePos="0" relativeHeight="251659264" behindDoc="1" locked="0" layoutInCell="1" hidden="0" allowOverlap="1" wp14:anchorId="5EF433B0" wp14:editId="596FCEB6">
          <wp:simplePos x="0" y="0"/>
          <wp:positionH relativeFrom="column">
            <wp:posOffset>-914398</wp:posOffset>
          </wp:positionH>
          <wp:positionV relativeFrom="paragraph">
            <wp:posOffset>0</wp:posOffset>
          </wp:positionV>
          <wp:extent cx="7772400" cy="730946"/>
          <wp:effectExtent l="0" t="0" r="0" b="0"/>
          <wp:wrapNone/>
          <wp:docPr id="7"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7772400" cy="730946"/>
                  </a:xfrm>
                  <a:prstGeom prst="rect">
                    <a:avLst/>
                  </a:prstGeom>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7CA06" w14:textId="77777777" w:rsidR="001629EA" w:rsidRDefault="001629EA">
      <w:pPr>
        <w:spacing w:before="0" w:after="0"/>
      </w:pPr>
      <w:r>
        <w:separator/>
      </w:r>
    </w:p>
  </w:footnote>
  <w:footnote w:type="continuationSeparator" w:id="0">
    <w:p w14:paraId="42E869E1" w14:textId="77777777" w:rsidR="001629EA" w:rsidRDefault="001629EA">
      <w:pPr>
        <w:spacing w:before="0" w:after="0"/>
      </w:pPr>
      <w:r>
        <w:continuationSeparator/>
      </w:r>
    </w:p>
  </w:footnote>
  <w:footnote w:id="1">
    <w:p w14:paraId="1D4FA655" w14:textId="6DEFA6C2" w:rsidR="00E422CE" w:rsidRDefault="00E422CE">
      <w:pPr>
        <w:pStyle w:val="FootnoteText"/>
      </w:pPr>
      <w:r>
        <w:rPr>
          <w:rStyle w:val="FootnoteReference"/>
        </w:rPr>
        <w:footnoteRef/>
      </w:r>
      <w:r>
        <w:t xml:space="preserve"> </w:t>
      </w:r>
      <w:r>
        <w:rPr>
          <w:rFonts w:ascii="Times New Roman" w:hAnsi="Times New Roman" w:cs="Times New Roman"/>
          <w:color w:val="auto"/>
          <w:sz w:val="24"/>
          <w:szCs w:val="24"/>
        </w:rPr>
        <w:t>Order No. 13 at 2 (Apr. 25, 2022).</w:t>
      </w:r>
    </w:p>
  </w:footnote>
  <w:footnote w:id="2">
    <w:p w14:paraId="00C11AB8" w14:textId="424BCBBE" w:rsidR="00E46542" w:rsidRPr="00B0203A" w:rsidRDefault="00E46542">
      <w:pPr>
        <w:pStyle w:val="FootnoteText"/>
        <w:rPr>
          <w:i/>
          <w:iCs/>
        </w:rPr>
      </w:pPr>
      <w:r>
        <w:rPr>
          <w:rStyle w:val="FootnoteReference"/>
        </w:rPr>
        <w:footnoteRef/>
      </w:r>
      <w:r>
        <w:t xml:space="preserve"> </w:t>
      </w:r>
      <w:r w:rsidR="00B0203A">
        <w:rPr>
          <w:rFonts w:ascii="Times New Roman" w:hAnsi="Times New Roman" w:cs="Times New Roman"/>
          <w:i/>
          <w:iCs/>
          <w:color w:val="auto"/>
          <w:sz w:val="24"/>
          <w:szCs w:val="24"/>
        </w:rPr>
        <w:t>Id.</w:t>
      </w:r>
    </w:p>
  </w:footnote>
  <w:footnote w:id="3">
    <w:p w14:paraId="58538C23" w14:textId="5C69EC55" w:rsidR="0010515B" w:rsidRPr="0010515B" w:rsidRDefault="0010515B">
      <w:pPr>
        <w:pStyle w:val="FootnoteText"/>
        <w:rPr>
          <w:rFonts w:ascii="Times New Roman" w:hAnsi="Times New Roman" w:cs="Times New Roman"/>
        </w:rPr>
      </w:pPr>
      <w:r>
        <w:rPr>
          <w:rStyle w:val="FootnoteReference"/>
        </w:rPr>
        <w:footnoteRef/>
      </w:r>
      <w:r>
        <w:t xml:space="preserve"> </w:t>
      </w:r>
      <w:r>
        <w:rPr>
          <w:rFonts w:ascii="Times New Roman" w:hAnsi="Times New Roman" w:cs="Times New Roman"/>
          <w:color w:val="auto"/>
          <w:sz w:val="24"/>
          <w:szCs w:val="24"/>
        </w:rPr>
        <w:t xml:space="preserve">Order No. 13 at 2 (Apr. 25, 2022). </w:t>
      </w:r>
    </w:p>
  </w:footnote>
  <w:footnote w:id="4">
    <w:p w14:paraId="5568B62E" w14:textId="1A062E8E" w:rsidR="0010515B" w:rsidRPr="0010515B" w:rsidRDefault="0010515B">
      <w:pPr>
        <w:pStyle w:val="FootnoteText"/>
        <w:rPr>
          <w:rFonts w:ascii="Times New Roman" w:hAnsi="Times New Roman" w:cs="Times New Roman"/>
        </w:rPr>
      </w:pPr>
      <w:r>
        <w:rPr>
          <w:rStyle w:val="FootnoteReference"/>
        </w:rPr>
        <w:footnoteRef/>
      </w:r>
      <w:r w:rsidR="00614A86">
        <w:t xml:space="preserve"> </w:t>
      </w:r>
      <w:r w:rsidR="00C17363">
        <w:rPr>
          <w:rFonts w:ascii="Times New Roman" w:hAnsi="Times New Roman" w:cs="Times New Roman"/>
          <w:color w:val="auto"/>
          <w:sz w:val="24"/>
          <w:szCs w:val="24"/>
        </w:rPr>
        <w:t>Conservice,</w:t>
      </w:r>
      <w:r w:rsidR="00381EDB">
        <w:rPr>
          <w:rFonts w:ascii="Times New Roman" w:hAnsi="Times New Roman" w:cs="Times New Roman"/>
          <w:color w:val="auto"/>
          <w:sz w:val="24"/>
          <w:szCs w:val="24"/>
        </w:rPr>
        <w:t xml:space="preserve"> R</w:t>
      </w:r>
      <w:r w:rsidR="00614A86">
        <w:rPr>
          <w:rFonts w:ascii="Times New Roman" w:hAnsi="Times New Roman" w:cs="Times New Roman"/>
          <w:color w:val="auto"/>
          <w:sz w:val="24"/>
          <w:szCs w:val="24"/>
        </w:rPr>
        <w:t>esponse to Order 13</w:t>
      </w:r>
      <w:r w:rsidR="00381EDB">
        <w:rPr>
          <w:rFonts w:ascii="Times New Roman" w:hAnsi="Times New Roman" w:cs="Times New Roman"/>
          <w:color w:val="auto"/>
          <w:sz w:val="24"/>
          <w:szCs w:val="24"/>
        </w:rPr>
        <w:t xml:space="preserve">, at 2. </w:t>
      </w:r>
    </w:p>
  </w:footnote>
  <w:footnote w:id="5">
    <w:p w14:paraId="4906911A" w14:textId="1AC1E131" w:rsidR="00E43A02" w:rsidRDefault="00E43A02">
      <w:pPr>
        <w:pStyle w:val="FootnoteText"/>
      </w:pPr>
      <w:r>
        <w:rPr>
          <w:rStyle w:val="FootnoteReference"/>
        </w:rPr>
        <w:footnoteRef/>
      </w:r>
      <w:r>
        <w:t xml:space="preserve"> </w:t>
      </w:r>
      <w:r>
        <w:rPr>
          <w:rFonts w:ascii="Times New Roman" w:hAnsi="Times New Roman" w:cs="Times New Roman"/>
          <w:color w:val="auto"/>
          <w:sz w:val="24"/>
          <w:szCs w:val="24"/>
        </w:rPr>
        <w:t>Order No. 13 at 2 (Apr. 25, 2022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1B8E8" w14:textId="77777777" w:rsidR="003A2CD4" w:rsidRDefault="00D045D3">
    <w:pPr>
      <w:rPr>
        <w:color w:val="555759"/>
      </w:rPr>
    </w:pPr>
    <w:r>
      <w:rPr>
        <w:noProof/>
      </w:rPr>
      <w:drawing>
        <wp:anchor distT="0" distB="0" distL="0" distR="0" simplePos="0" relativeHeight="251658240" behindDoc="1" locked="0" layoutInCell="1" hidden="0" allowOverlap="1" wp14:anchorId="1B7906CF" wp14:editId="0D06F511">
          <wp:simplePos x="0" y="0"/>
          <wp:positionH relativeFrom="column">
            <wp:posOffset>-594359</wp:posOffset>
          </wp:positionH>
          <wp:positionV relativeFrom="paragraph">
            <wp:posOffset>-447674</wp:posOffset>
          </wp:positionV>
          <wp:extent cx="7772400" cy="1078992"/>
          <wp:effectExtent l="0" t="0" r="0" b="0"/>
          <wp:wrapNone/>
          <wp:docPr id="6"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7772400" cy="1078992"/>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B076B8"/>
    <w:multiLevelType w:val="hybridMultilevel"/>
    <w:tmpl w:val="7B6438E4"/>
    <w:lvl w:ilvl="0" w:tplc="0409001B">
      <w:start w:val="1"/>
      <w:numFmt w:val="lowerRoman"/>
      <w:lvlText w:val="%1."/>
      <w:lvlJc w:val="righ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 w15:restartNumberingAfterBreak="0">
    <w:nsid w:val="1EE436F7"/>
    <w:multiLevelType w:val="hybridMultilevel"/>
    <w:tmpl w:val="F000F9BE"/>
    <w:lvl w:ilvl="0" w:tplc="55EA59CA">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8A51BB"/>
    <w:multiLevelType w:val="hybridMultilevel"/>
    <w:tmpl w:val="910E587E"/>
    <w:lvl w:ilvl="0" w:tplc="F08A931C">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D3A3C8B"/>
    <w:multiLevelType w:val="hybridMultilevel"/>
    <w:tmpl w:val="AF84E08E"/>
    <w:lvl w:ilvl="0" w:tplc="096E3DD6">
      <w:start w:val="1"/>
      <w:numFmt w:val="decimal"/>
      <w:lvlText w:val="%1."/>
      <w:lvlJc w:val="left"/>
      <w:pPr>
        <w:ind w:left="364" w:hanging="360"/>
      </w:pPr>
      <w:rPr>
        <w:rFonts w:hint="default"/>
        <w:color w:val="000000"/>
        <w:sz w:val="20"/>
      </w:rPr>
    </w:lvl>
    <w:lvl w:ilvl="1" w:tplc="04090019" w:tentative="1">
      <w:start w:val="1"/>
      <w:numFmt w:val="lowerLetter"/>
      <w:lvlText w:val="%2."/>
      <w:lvlJc w:val="left"/>
      <w:pPr>
        <w:ind w:left="1084" w:hanging="360"/>
      </w:pPr>
    </w:lvl>
    <w:lvl w:ilvl="2" w:tplc="0409001B" w:tentative="1">
      <w:start w:val="1"/>
      <w:numFmt w:val="lowerRoman"/>
      <w:lvlText w:val="%3."/>
      <w:lvlJc w:val="right"/>
      <w:pPr>
        <w:ind w:left="1804" w:hanging="180"/>
      </w:pPr>
    </w:lvl>
    <w:lvl w:ilvl="3" w:tplc="0409000F" w:tentative="1">
      <w:start w:val="1"/>
      <w:numFmt w:val="decimal"/>
      <w:lvlText w:val="%4."/>
      <w:lvlJc w:val="left"/>
      <w:pPr>
        <w:ind w:left="2524" w:hanging="360"/>
      </w:pPr>
    </w:lvl>
    <w:lvl w:ilvl="4" w:tplc="04090019" w:tentative="1">
      <w:start w:val="1"/>
      <w:numFmt w:val="lowerLetter"/>
      <w:lvlText w:val="%5."/>
      <w:lvlJc w:val="left"/>
      <w:pPr>
        <w:ind w:left="3244" w:hanging="360"/>
      </w:pPr>
    </w:lvl>
    <w:lvl w:ilvl="5" w:tplc="0409001B" w:tentative="1">
      <w:start w:val="1"/>
      <w:numFmt w:val="lowerRoman"/>
      <w:lvlText w:val="%6."/>
      <w:lvlJc w:val="right"/>
      <w:pPr>
        <w:ind w:left="3964" w:hanging="180"/>
      </w:pPr>
    </w:lvl>
    <w:lvl w:ilvl="6" w:tplc="0409000F" w:tentative="1">
      <w:start w:val="1"/>
      <w:numFmt w:val="decimal"/>
      <w:lvlText w:val="%7."/>
      <w:lvlJc w:val="left"/>
      <w:pPr>
        <w:ind w:left="4684" w:hanging="360"/>
      </w:pPr>
    </w:lvl>
    <w:lvl w:ilvl="7" w:tplc="04090019" w:tentative="1">
      <w:start w:val="1"/>
      <w:numFmt w:val="lowerLetter"/>
      <w:lvlText w:val="%8."/>
      <w:lvlJc w:val="left"/>
      <w:pPr>
        <w:ind w:left="5404" w:hanging="360"/>
      </w:pPr>
    </w:lvl>
    <w:lvl w:ilvl="8" w:tplc="0409001B" w:tentative="1">
      <w:start w:val="1"/>
      <w:numFmt w:val="lowerRoman"/>
      <w:lvlText w:val="%9."/>
      <w:lvlJc w:val="right"/>
      <w:pPr>
        <w:ind w:left="6124" w:hanging="180"/>
      </w:pPr>
    </w:lvl>
  </w:abstractNum>
  <w:abstractNum w:abstractNumId="4" w15:restartNumberingAfterBreak="0">
    <w:nsid w:val="3F377531"/>
    <w:multiLevelType w:val="hybridMultilevel"/>
    <w:tmpl w:val="2FA2D906"/>
    <w:lvl w:ilvl="0" w:tplc="761C7D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3F268A"/>
    <w:multiLevelType w:val="hybridMultilevel"/>
    <w:tmpl w:val="00E483FC"/>
    <w:lvl w:ilvl="0" w:tplc="AB30BCF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2F7FAA"/>
    <w:multiLevelType w:val="hybridMultilevel"/>
    <w:tmpl w:val="5F302BBE"/>
    <w:lvl w:ilvl="0" w:tplc="D0746EF6">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508250058">
    <w:abstractNumId w:val="3"/>
  </w:num>
  <w:num w:numId="2" w16cid:durableId="164247985">
    <w:abstractNumId w:val="6"/>
  </w:num>
  <w:num w:numId="3" w16cid:durableId="2089883291">
    <w:abstractNumId w:val="2"/>
  </w:num>
  <w:num w:numId="4" w16cid:durableId="917252398">
    <w:abstractNumId w:val="0"/>
  </w:num>
  <w:num w:numId="5" w16cid:durableId="1045985876">
    <w:abstractNumId w:val="4"/>
  </w:num>
  <w:num w:numId="6" w16cid:durableId="1940719643">
    <w:abstractNumId w:val="1"/>
  </w:num>
  <w:num w:numId="7" w16cid:durableId="11678670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2CD4"/>
    <w:rsid w:val="0000511D"/>
    <w:rsid w:val="000122F8"/>
    <w:rsid w:val="00017B10"/>
    <w:rsid w:val="00021B5E"/>
    <w:rsid w:val="000412EB"/>
    <w:rsid w:val="00050CE1"/>
    <w:rsid w:val="00053BFB"/>
    <w:rsid w:val="00060A15"/>
    <w:rsid w:val="00064567"/>
    <w:rsid w:val="00081B82"/>
    <w:rsid w:val="000B1AF0"/>
    <w:rsid w:val="000D2991"/>
    <w:rsid w:val="000E6862"/>
    <w:rsid w:val="00101C48"/>
    <w:rsid w:val="0010515B"/>
    <w:rsid w:val="001206B9"/>
    <w:rsid w:val="0013536B"/>
    <w:rsid w:val="001629EA"/>
    <w:rsid w:val="00165411"/>
    <w:rsid w:val="00185EDB"/>
    <w:rsid w:val="001E52A3"/>
    <w:rsid w:val="001F1BA6"/>
    <w:rsid w:val="001F1FFB"/>
    <w:rsid w:val="001F2D4A"/>
    <w:rsid w:val="00222541"/>
    <w:rsid w:val="00240DAD"/>
    <w:rsid w:val="0024222E"/>
    <w:rsid w:val="00281BE0"/>
    <w:rsid w:val="002C4BC2"/>
    <w:rsid w:val="002C74D3"/>
    <w:rsid w:val="002D3E7A"/>
    <w:rsid w:val="002F19B6"/>
    <w:rsid w:val="002F7A71"/>
    <w:rsid w:val="00301072"/>
    <w:rsid w:val="003010A6"/>
    <w:rsid w:val="003022F8"/>
    <w:rsid w:val="00381EDB"/>
    <w:rsid w:val="00391989"/>
    <w:rsid w:val="003A2CD4"/>
    <w:rsid w:val="003B05D0"/>
    <w:rsid w:val="003D0B18"/>
    <w:rsid w:val="0041780A"/>
    <w:rsid w:val="00425613"/>
    <w:rsid w:val="00446F7C"/>
    <w:rsid w:val="004531A9"/>
    <w:rsid w:val="00464B61"/>
    <w:rsid w:val="004711F0"/>
    <w:rsid w:val="00476022"/>
    <w:rsid w:val="004825E3"/>
    <w:rsid w:val="004864CE"/>
    <w:rsid w:val="004A28C3"/>
    <w:rsid w:val="004A3BE9"/>
    <w:rsid w:val="004A61EC"/>
    <w:rsid w:val="004D7044"/>
    <w:rsid w:val="004D778A"/>
    <w:rsid w:val="004E3CBB"/>
    <w:rsid w:val="004F1E79"/>
    <w:rsid w:val="005178F1"/>
    <w:rsid w:val="00520D83"/>
    <w:rsid w:val="00537D5F"/>
    <w:rsid w:val="005424AC"/>
    <w:rsid w:val="00551429"/>
    <w:rsid w:val="005603DE"/>
    <w:rsid w:val="0057438C"/>
    <w:rsid w:val="005938B4"/>
    <w:rsid w:val="00593C6D"/>
    <w:rsid w:val="005A7005"/>
    <w:rsid w:val="005B32C1"/>
    <w:rsid w:val="005C75D1"/>
    <w:rsid w:val="005D6E30"/>
    <w:rsid w:val="005E0E26"/>
    <w:rsid w:val="005F443D"/>
    <w:rsid w:val="006127C8"/>
    <w:rsid w:val="00614A86"/>
    <w:rsid w:val="00620481"/>
    <w:rsid w:val="006328D3"/>
    <w:rsid w:val="00670BBF"/>
    <w:rsid w:val="00682274"/>
    <w:rsid w:val="0069075B"/>
    <w:rsid w:val="006A30B6"/>
    <w:rsid w:val="006A6F29"/>
    <w:rsid w:val="006E1B30"/>
    <w:rsid w:val="006E5B6D"/>
    <w:rsid w:val="006E7405"/>
    <w:rsid w:val="006F0E9E"/>
    <w:rsid w:val="00735EF0"/>
    <w:rsid w:val="00736D62"/>
    <w:rsid w:val="007579B5"/>
    <w:rsid w:val="0076050A"/>
    <w:rsid w:val="00795C26"/>
    <w:rsid w:val="007960E3"/>
    <w:rsid w:val="007A2CD6"/>
    <w:rsid w:val="007A4133"/>
    <w:rsid w:val="007B60F1"/>
    <w:rsid w:val="007F0FF6"/>
    <w:rsid w:val="0083144B"/>
    <w:rsid w:val="0083315C"/>
    <w:rsid w:val="008338F1"/>
    <w:rsid w:val="00836294"/>
    <w:rsid w:val="0085691F"/>
    <w:rsid w:val="00861E61"/>
    <w:rsid w:val="00863E92"/>
    <w:rsid w:val="0088794E"/>
    <w:rsid w:val="008953D2"/>
    <w:rsid w:val="008B283D"/>
    <w:rsid w:val="008C6A77"/>
    <w:rsid w:val="008E134D"/>
    <w:rsid w:val="008E7CE4"/>
    <w:rsid w:val="008F6774"/>
    <w:rsid w:val="008F7CED"/>
    <w:rsid w:val="00910CCD"/>
    <w:rsid w:val="009301D7"/>
    <w:rsid w:val="009516E1"/>
    <w:rsid w:val="009901BD"/>
    <w:rsid w:val="009A0978"/>
    <w:rsid w:val="009A437A"/>
    <w:rsid w:val="009A78F7"/>
    <w:rsid w:val="009B0E4A"/>
    <w:rsid w:val="009D0078"/>
    <w:rsid w:val="009D28DA"/>
    <w:rsid w:val="009E1CC4"/>
    <w:rsid w:val="009F2741"/>
    <w:rsid w:val="00A04895"/>
    <w:rsid w:val="00A34E8D"/>
    <w:rsid w:val="00A3547C"/>
    <w:rsid w:val="00A6621E"/>
    <w:rsid w:val="00A97412"/>
    <w:rsid w:val="00AA0BBB"/>
    <w:rsid w:val="00AE1563"/>
    <w:rsid w:val="00AE3CAB"/>
    <w:rsid w:val="00AE4E1D"/>
    <w:rsid w:val="00AE7FF9"/>
    <w:rsid w:val="00AF1EDD"/>
    <w:rsid w:val="00AF77F2"/>
    <w:rsid w:val="00B0203A"/>
    <w:rsid w:val="00B13CED"/>
    <w:rsid w:val="00B31A36"/>
    <w:rsid w:val="00B473F7"/>
    <w:rsid w:val="00B534D6"/>
    <w:rsid w:val="00B57D1D"/>
    <w:rsid w:val="00B73082"/>
    <w:rsid w:val="00B74B9D"/>
    <w:rsid w:val="00B855F9"/>
    <w:rsid w:val="00BA3A50"/>
    <w:rsid w:val="00BC5164"/>
    <w:rsid w:val="00BC638F"/>
    <w:rsid w:val="00BD74B9"/>
    <w:rsid w:val="00BE1E5D"/>
    <w:rsid w:val="00BE4B77"/>
    <w:rsid w:val="00C17173"/>
    <w:rsid w:val="00C17363"/>
    <w:rsid w:val="00C3479C"/>
    <w:rsid w:val="00C51D6C"/>
    <w:rsid w:val="00C57146"/>
    <w:rsid w:val="00C620FB"/>
    <w:rsid w:val="00C72A76"/>
    <w:rsid w:val="00C85B27"/>
    <w:rsid w:val="00C90E5B"/>
    <w:rsid w:val="00CB0453"/>
    <w:rsid w:val="00CC05DF"/>
    <w:rsid w:val="00CD37B3"/>
    <w:rsid w:val="00CD3A0E"/>
    <w:rsid w:val="00CF1394"/>
    <w:rsid w:val="00CF19EF"/>
    <w:rsid w:val="00CF2E70"/>
    <w:rsid w:val="00CF63A9"/>
    <w:rsid w:val="00D045D3"/>
    <w:rsid w:val="00D15D10"/>
    <w:rsid w:val="00D25998"/>
    <w:rsid w:val="00D46BE4"/>
    <w:rsid w:val="00D52860"/>
    <w:rsid w:val="00D552D6"/>
    <w:rsid w:val="00D7412A"/>
    <w:rsid w:val="00D75005"/>
    <w:rsid w:val="00D86E3D"/>
    <w:rsid w:val="00D903CD"/>
    <w:rsid w:val="00D9303E"/>
    <w:rsid w:val="00DA2C10"/>
    <w:rsid w:val="00DA78C0"/>
    <w:rsid w:val="00DB33A5"/>
    <w:rsid w:val="00DD6FD4"/>
    <w:rsid w:val="00DE66E5"/>
    <w:rsid w:val="00E01C8C"/>
    <w:rsid w:val="00E422CE"/>
    <w:rsid w:val="00E4345E"/>
    <w:rsid w:val="00E43A02"/>
    <w:rsid w:val="00E46542"/>
    <w:rsid w:val="00E54440"/>
    <w:rsid w:val="00E84AEA"/>
    <w:rsid w:val="00E86B69"/>
    <w:rsid w:val="00EA2641"/>
    <w:rsid w:val="00EF6BEA"/>
    <w:rsid w:val="00F23895"/>
    <w:rsid w:val="00F5591C"/>
    <w:rsid w:val="00F57631"/>
    <w:rsid w:val="00F74556"/>
    <w:rsid w:val="00F8373E"/>
    <w:rsid w:val="00F94E81"/>
    <w:rsid w:val="00FA1249"/>
    <w:rsid w:val="00FC2F75"/>
    <w:rsid w:val="00FC6981"/>
    <w:rsid w:val="00FD0C11"/>
    <w:rsid w:val="00FD3267"/>
    <w:rsid w:val="00FD328B"/>
    <w:rsid w:val="00FD6179"/>
    <w:rsid w:val="00FD7541"/>
    <w:rsid w:val="00FE17B5"/>
    <w:rsid w:val="00FE1B3E"/>
    <w:rsid w:val="00FF60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87C3C8"/>
  <w15:docId w15:val="{4C2B1311-5241-4BCF-97D0-DB14D51E9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Helvetica Neue" w:eastAsia="Helvetica Neue" w:hAnsi="Helvetica Neue" w:cs="Helvetica Neue"/>
        <w:color w:val="555759"/>
        <w:sz w:val="22"/>
        <w:szCs w:val="22"/>
        <w:lang w:val="en-US" w:eastAsia="en-US" w:bidi="ar-SA"/>
      </w:rPr>
    </w:rPrDefault>
    <w:pPrDefault>
      <w:pPr>
        <w:spacing w:before="60" w:after="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677D"/>
    <w:rPr>
      <w:rFonts w:ascii="Helvetica LT Std Cond" w:hAnsi="Helvetica LT Std Cond"/>
      <w:color w:val="555759" w:themeColor="text1"/>
    </w:rPr>
  </w:style>
  <w:style w:type="paragraph" w:styleId="Heading1">
    <w:name w:val="heading 1"/>
    <w:basedOn w:val="Normal"/>
    <w:next w:val="Normal"/>
    <w:link w:val="Heading1Char"/>
    <w:uiPriority w:val="9"/>
    <w:qFormat/>
    <w:rsid w:val="0012677D"/>
    <w:pPr>
      <w:keepNext/>
      <w:keepLines/>
      <w:spacing w:before="240" w:after="120"/>
      <w:outlineLvl w:val="0"/>
    </w:pPr>
    <w:rPr>
      <w:rFonts w:eastAsiaTheme="majorEastAsia" w:cstheme="majorBidi"/>
      <w:b/>
      <w:color w:val="77BC1F"/>
      <w:sz w:val="40"/>
      <w:szCs w:val="36"/>
    </w:rPr>
  </w:style>
  <w:style w:type="paragraph" w:styleId="Heading2">
    <w:name w:val="heading 2"/>
    <w:basedOn w:val="Normal"/>
    <w:next w:val="Normal"/>
    <w:uiPriority w:val="9"/>
    <w:unhideWhenUsed/>
    <w:qFormat/>
    <w:rsid w:val="0012677D"/>
    <w:pPr>
      <w:keepNext/>
      <w:keepLines/>
      <w:spacing w:before="180"/>
      <w:outlineLvl w:val="1"/>
    </w:pPr>
    <w:rPr>
      <w:b/>
      <w:color w:val="77BC1F"/>
      <w:sz w:val="28"/>
      <w:szCs w:val="28"/>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12677D"/>
    <w:pPr>
      <w:keepNext/>
      <w:keepLines/>
      <w:spacing w:before="240" w:after="120"/>
    </w:pPr>
    <w:rPr>
      <w:b/>
      <w:color w:val="263746"/>
      <w:sz w:val="64"/>
      <w:szCs w:val="64"/>
    </w:rPr>
  </w:style>
  <w:style w:type="paragraph" w:styleId="Header">
    <w:name w:val="header"/>
    <w:basedOn w:val="Normal"/>
    <w:link w:val="HeaderChar"/>
    <w:uiPriority w:val="99"/>
    <w:unhideWhenUsed/>
    <w:rsid w:val="00B05E5F"/>
    <w:pPr>
      <w:tabs>
        <w:tab w:val="center" w:pos="4680"/>
        <w:tab w:val="right" w:pos="9360"/>
      </w:tabs>
      <w:spacing w:after="0"/>
    </w:pPr>
  </w:style>
  <w:style w:type="character" w:customStyle="1" w:styleId="HeaderChar">
    <w:name w:val="Header Char"/>
    <w:basedOn w:val="DefaultParagraphFont"/>
    <w:link w:val="Header"/>
    <w:uiPriority w:val="99"/>
    <w:rsid w:val="00B05E5F"/>
  </w:style>
  <w:style w:type="paragraph" w:styleId="Footer">
    <w:name w:val="footer"/>
    <w:basedOn w:val="Normal"/>
    <w:link w:val="FooterChar"/>
    <w:uiPriority w:val="99"/>
    <w:unhideWhenUsed/>
    <w:rsid w:val="00B05E5F"/>
    <w:pPr>
      <w:tabs>
        <w:tab w:val="center" w:pos="4680"/>
        <w:tab w:val="right" w:pos="9360"/>
      </w:tabs>
      <w:spacing w:after="0"/>
    </w:pPr>
  </w:style>
  <w:style w:type="character" w:customStyle="1" w:styleId="FooterChar">
    <w:name w:val="Footer Char"/>
    <w:basedOn w:val="DefaultParagraphFont"/>
    <w:link w:val="Footer"/>
    <w:uiPriority w:val="99"/>
    <w:rsid w:val="00B05E5F"/>
  </w:style>
  <w:style w:type="character" w:customStyle="1" w:styleId="Heading1Char">
    <w:name w:val="Heading 1 Char"/>
    <w:basedOn w:val="DefaultParagraphFont"/>
    <w:link w:val="Heading1"/>
    <w:uiPriority w:val="9"/>
    <w:rsid w:val="0012677D"/>
    <w:rPr>
      <w:rFonts w:ascii="Helvetica LT Std Cond" w:eastAsiaTheme="majorEastAsia" w:hAnsi="Helvetica LT Std Cond" w:cstheme="majorBidi"/>
      <w:b/>
      <w:color w:val="77BC1F"/>
      <w:sz w:val="40"/>
      <w:szCs w:val="36"/>
    </w:rPr>
  </w:style>
  <w:style w:type="character" w:styleId="Hyperlink">
    <w:name w:val="Hyperlink"/>
    <w:basedOn w:val="DefaultParagraphFont"/>
    <w:uiPriority w:val="99"/>
    <w:unhideWhenUsed/>
    <w:rsid w:val="00837F86"/>
    <w:rPr>
      <w:color w:val="006FDD" w:themeColor="hyperlink"/>
      <w:u w:val="single"/>
    </w:rPr>
  </w:style>
  <w:style w:type="character" w:customStyle="1" w:styleId="UnresolvedMention1">
    <w:name w:val="Unresolved Mention1"/>
    <w:basedOn w:val="DefaultParagraphFont"/>
    <w:uiPriority w:val="99"/>
    <w:semiHidden/>
    <w:unhideWhenUsed/>
    <w:rsid w:val="00837F86"/>
    <w:rPr>
      <w:color w:val="605E5C"/>
      <w:shd w:val="clear" w:color="auto" w:fill="E1DFDD"/>
    </w:rPr>
  </w:style>
  <w:style w:type="paragraph" w:styleId="ListParagraph">
    <w:name w:val="List Paragraph"/>
    <w:basedOn w:val="Normal"/>
    <w:uiPriority w:val="34"/>
    <w:qFormat/>
    <w:rsid w:val="00F725DD"/>
    <w:pPr>
      <w:ind w:left="720"/>
      <w:contextualSpacing/>
    </w:pPr>
  </w:style>
  <w:style w:type="paragraph" w:customStyle="1" w:styleId="NormalforQuestions">
    <w:name w:val="Normal for Questions"/>
    <w:basedOn w:val="Normal"/>
    <w:qFormat/>
    <w:rsid w:val="00D13BE7"/>
    <w:pPr>
      <w:spacing w:before="360" w:after="120"/>
    </w:pPr>
    <w:rPr>
      <w:b/>
      <w:bCs/>
      <w:color w:val="263746" w:themeColor="text2"/>
    </w:rPr>
  </w:style>
  <w:style w:type="paragraph" w:styleId="Subtitle">
    <w:name w:val="Subtitle"/>
    <w:basedOn w:val="Normal"/>
    <w:next w:val="Normal"/>
    <w:uiPriority w:val="11"/>
    <w:qFormat/>
    <w:pPr>
      <w:keepNext/>
      <w:keepLines/>
      <w:spacing w:before="360" w:after="80"/>
    </w:pPr>
    <w:rPr>
      <w:i/>
      <w:color w:val="666666"/>
      <w:sz w:val="48"/>
      <w:szCs w:val="48"/>
    </w:rPr>
  </w:style>
  <w:style w:type="character" w:styleId="SubtleEmphasis">
    <w:name w:val="Subtle Emphasis"/>
    <w:basedOn w:val="DefaultParagraphFont"/>
    <w:uiPriority w:val="19"/>
    <w:qFormat/>
    <w:rsid w:val="005545E6"/>
    <w:rPr>
      <w:rFonts w:ascii="Helvetica LT Std Cond" w:hAnsi="Helvetica LT Std Cond"/>
      <w:b w:val="0"/>
      <w:i/>
      <w:iCs/>
      <w:color w:val="7E8084" w:themeColor="text1" w:themeTint="BF"/>
    </w:rPr>
  </w:style>
  <w:style w:type="paragraph" w:styleId="NormalWeb">
    <w:name w:val="Normal (Web)"/>
    <w:basedOn w:val="Normal"/>
    <w:uiPriority w:val="99"/>
    <w:unhideWhenUsed/>
    <w:rsid w:val="00D15D10"/>
    <w:pPr>
      <w:spacing w:before="100" w:beforeAutospacing="1" w:after="100" w:afterAutospacing="1"/>
    </w:pPr>
    <w:rPr>
      <w:rFonts w:ascii="Times New Roman" w:eastAsia="Times New Roman" w:hAnsi="Times New Roman" w:cs="Times New Roman"/>
      <w:color w:val="auto"/>
      <w:sz w:val="24"/>
      <w:szCs w:val="24"/>
    </w:rPr>
  </w:style>
  <w:style w:type="paragraph" w:styleId="FootnoteText">
    <w:name w:val="footnote text"/>
    <w:basedOn w:val="Normal"/>
    <w:link w:val="FootnoteTextChar"/>
    <w:uiPriority w:val="99"/>
    <w:unhideWhenUsed/>
    <w:rsid w:val="001F2D4A"/>
    <w:pPr>
      <w:spacing w:before="0" w:after="0"/>
    </w:pPr>
    <w:rPr>
      <w:sz w:val="20"/>
      <w:szCs w:val="20"/>
    </w:rPr>
  </w:style>
  <w:style w:type="character" w:customStyle="1" w:styleId="FootnoteTextChar">
    <w:name w:val="Footnote Text Char"/>
    <w:basedOn w:val="DefaultParagraphFont"/>
    <w:link w:val="FootnoteText"/>
    <w:uiPriority w:val="99"/>
    <w:rsid w:val="001F2D4A"/>
    <w:rPr>
      <w:rFonts w:ascii="Helvetica LT Std Cond" w:hAnsi="Helvetica LT Std Cond"/>
      <w:color w:val="555759" w:themeColor="text1"/>
      <w:sz w:val="20"/>
      <w:szCs w:val="20"/>
    </w:rPr>
  </w:style>
  <w:style w:type="character" w:styleId="FootnoteReference">
    <w:name w:val="footnote reference"/>
    <w:basedOn w:val="DefaultParagraphFont"/>
    <w:uiPriority w:val="99"/>
    <w:semiHidden/>
    <w:unhideWhenUsed/>
    <w:rsid w:val="001F2D4A"/>
    <w:rPr>
      <w:vertAlign w:val="superscript"/>
    </w:rPr>
  </w:style>
  <w:style w:type="character" w:styleId="CommentReference">
    <w:name w:val="annotation reference"/>
    <w:basedOn w:val="DefaultParagraphFont"/>
    <w:uiPriority w:val="99"/>
    <w:semiHidden/>
    <w:unhideWhenUsed/>
    <w:rsid w:val="00391989"/>
    <w:rPr>
      <w:sz w:val="16"/>
      <w:szCs w:val="16"/>
    </w:rPr>
  </w:style>
  <w:style w:type="paragraph" w:styleId="CommentText">
    <w:name w:val="annotation text"/>
    <w:basedOn w:val="Normal"/>
    <w:link w:val="CommentTextChar"/>
    <w:uiPriority w:val="99"/>
    <w:semiHidden/>
    <w:unhideWhenUsed/>
    <w:rsid w:val="00391989"/>
    <w:rPr>
      <w:sz w:val="20"/>
      <w:szCs w:val="20"/>
    </w:rPr>
  </w:style>
  <w:style w:type="character" w:customStyle="1" w:styleId="CommentTextChar">
    <w:name w:val="Comment Text Char"/>
    <w:basedOn w:val="DefaultParagraphFont"/>
    <w:link w:val="CommentText"/>
    <w:uiPriority w:val="99"/>
    <w:semiHidden/>
    <w:rsid w:val="00391989"/>
    <w:rPr>
      <w:rFonts w:ascii="Helvetica LT Std Cond" w:hAnsi="Helvetica LT Std Cond"/>
      <w:color w:val="555759" w:themeColor="text1"/>
      <w:sz w:val="20"/>
      <w:szCs w:val="20"/>
    </w:rPr>
  </w:style>
  <w:style w:type="paragraph" w:styleId="CommentSubject">
    <w:name w:val="annotation subject"/>
    <w:basedOn w:val="CommentText"/>
    <w:next w:val="CommentText"/>
    <w:link w:val="CommentSubjectChar"/>
    <w:uiPriority w:val="99"/>
    <w:semiHidden/>
    <w:unhideWhenUsed/>
    <w:rsid w:val="00391989"/>
    <w:rPr>
      <w:b/>
      <w:bCs/>
    </w:rPr>
  </w:style>
  <w:style w:type="character" w:customStyle="1" w:styleId="CommentSubjectChar">
    <w:name w:val="Comment Subject Char"/>
    <w:basedOn w:val="CommentTextChar"/>
    <w:link w:val="CommentSubject"/>
    <w:uiPriority w:val="99"/>
    <w:semiHidden/>
    <w:rsid w:val="00391989"/>
    <w:rPr>
      <w:rFonts w:ascii="Helvetica LT Std Cond" w:hAnsi="Helvetica LT Std Cond"/>
      <w:b/>
      <w:bCs/>
      <w:color w:val="555759" w:themeColor="text1"/>
      <w:sz w:val="20"/>
      <w:szCs w:val="20"/>
    </w:rPr>
  </w:style>
  <w:style w:type="character" w:styleId="UnresolvedMention">
    <w:name w:val="Unresolved Mention"/>
    <w:basedOn w:val="DefaultParagraphFont"/>
    <w:uiPriority w:val="99"/>
    <w:semiHidden/>
    <w:unhideWhenUsed/>
    <w:rsid w:val="001206B9"/>
    <w:rPr>
      <w:color w:val="605E5C"/>
      <w:shd w:val="clear" w:color="auto" w:fill="E1DFDD"/>
    </w:rPr>
  </w:style>
  <w:style w:type="character" w:styleId="PageNumber">
    <w:name w:val="page number"/>
    <w:basedOn w:val="DefaultParagraphFont"/>
    <w:uiPriority w:val="99"/>
    <w:semiHidden/>
    <w:unhideWhenUsed/>
    <w:rsid w:val="009B0E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665241">
      <w:bodyDiv w:val="1"/>
      <w:marLeft w:val="0"/>
      <w:marRight w:val="0"/>
      <w:marTop w:val="0"/>
      <w:marBottom w:val="0"/>
      <w:divBdr>
        <w:top w:val="none" w:sz="0" w:space="0" w:color="auto"/>
        <w:left w:val="none" w:sz="0" w:space="0" w:color="auto"/>
        <w:bottom w:val="none" w:sz="0" w:space="0" w:color="auto"/>
        <w:right w:val="none" w:sz="0" w:space="0" w:color="auto"/>
      </w:divBdr>
    </w:div>
    <w:div w:id="210194927">
      <w:bodyDiv w:val="1"/>
      <w:marLeft w:val="0"/>
      <w:marRight w:val="0"/>
      <w:marTop w:val="0"/>
      <w:marBottom w:val="0"/>
      <w:divBdr>
        <w:top w:val="none" w:sz="0" w:space="0" w:color="auto"/>
        <w:left w:val="none" w:sz="0" w:space="0" w:color="auto"/>
        <w:bottom w:val="none" w:sz="0" w:space="0" w:color="auto"/>
        <w:right w:val="none" w:sz="0" w:space="0" w:color="auto"/>
      </w:divBdr>
    </w:div>
    <w:div w:id="449594057">
      <w:bodyDiv w:val="1"/>
      <w:marLeft w:val="0"/>
      <w:marRight w:val="0"/>
      <w:marTop w:val="0"/>
      <w:marBottom w:val="0"/>
      <w:divBdr>
        <w:top w:val="none" w:sz="0" w:space="0" w:color="auto"/>
        <w:left w:val="none" w:sz="0" w:space="0" w:color="auto"/>
        <w:bottom w:val="none" w:sz="0" w:space="0" w:color="auto"/>
        <w:right w:val="none" w:sz="0" w:space="0" w:color="auto"/>
      </w:divBdr>
      <w:divsChild>
        <w:div w:id="1248685408">
          <w:marLeft w:val="0"/>
          <w:marRight w:val="0"/>
          <w:marTop w:val="0"/>
          <w:marBottom w:val="0"/>
          <w:divBdr>
            <w:top w:val="none" w:sz="0" w:space="0" w:color="auto"/>
            <w:left w:val="none" w:sz="0" w:space="0" w:color="auto"/>
            <w:bottom w:val="none" w:sz="0" w:space="0" w:color="auto"/>
            <w:right w:val="none" w:sz="0" w:space="0" w:color="auto"/>
          </w:divBdr>
        </w:div>
      </w:divsChild>
    </w:div>
    <w:div w:id="490682956">
      <w:bodyDiv w:val="1"/>
      <w:marLeft w:val="0"/>
      <w:marRight w:val="0"/>
      <w:marTop w:val="0"/>
      <w:marBottom w:val="0"/>
      <w:divBdr>
        <w:top w:val="none" w:sz="0" w:space="0" w:color="auto"/>
        <w:left w:val="none" w:sz="0" w:space="0" w:color="auto"/>
        <w:bottom w:val="none" w:sz="0" w:space="0" w:color="auto"/>
        <w:right w:val="none" w:sz="0" w:space="0" w:color="auto"/>
      </w:divBdr>
    </w:div>
    <w:div w:id="1070467541">
      <w:bodyDiv w:val="1"/>
      <w:marLeft w:val="0"/>
      <w:marRight w:val="0"/>
      <w:marTop w:val="0"/>
      <w:marBottom w:val="0"/>
      <w:divBdr>
        <w:top w:val="none" w:sz="0" w:space="0" w:color="auto"/>
        <w:left w:val="none" w:sz="0" w:space="0" w:color="auto"/>
        <w:bottom w:val="none" w:sz="0" w:space="0" w:color="auto"/>
        <w:right w:val="none" w:sz="0" w:space="0" w:color="auto"/>
      </w:divBdr>
    </w:div>
    <w:div w:id="1492981716">
      <w:bodyDiv w:val="1"/>
      <w:marLeft w:val="0"/>
      <w:marRight w:val="0"/>
      <w:marTop w:val="0"/>
      <w:marBottom w:val="0"/>
      <w:divBdr>
        <w:top w:val="none" w:sz="0" w:space="0" w:color="auto"/>
        <w:left w:val="none" w:sz="0" w:space="0" w:color="auto"/>
        <w:bottom w:val="none" w:sz="0" w:space="0" w:color="auto"/>
        <w:right w:val="none" w:sz="0" w:space="0" w:color="auto"/>
      </w:divBdr>
    </w:div>
    <w:div w:id="1636327956">
      <w:bodyDiv w:val="1"/>
      <w:marLeft w:val="0"/>
      <w:marRight w:val="0"/>
      <w:marTop w:val="0"/>
      <w:marBottom w:val="0"/>
      <w:divBdr>
        <w:top w:val="none" w:sz="0" w:space="0" w:color="auto"/>
        <w:left w:val="none" w:sz="0" w:space="0" w:color="auto"/>
        <w:bottom w:val="none" w:sz="0" w:space="0" w:color="auto"/>
        <w:right w:val="none" w:sz="0" w:space="0" w:color="auto"/>
      </w:divBdr>
      <w:divsChild>
        <w:div w:id="1902598129">
          <w:marLeft w:val="0"/>
          <w:marRight w:val="0"/>
          <w:marTop w:val="0"/>
          <w:marBottom w:val="0"/>
          <w:divBdr>
            <w:top w:val="none" w:sz="0" w:space="0" w:color="auto"/>
            <w:left w:val="none" w:sz="0" w:space="0" w:color="auto"/>
            <w:bottom w:val="none" w:sz="0" w:space="0" w:color="auto"/>
            <w:right w:val="none" w:sz="0" w:space="0" w:color="auto"/>
          </w:divBdr>
        </w:div>
      </w:divsChild>
    </w:div>
    <w:div w:id="1755124625">
      <w:bodyDiv w:val="1"/>
      <w:marLeft w:val="0"/>
      <w:marRight w:val="0"/>
      <w:marTop w:val="0"/>
      <w:marBottom w:val="0"/>
      <w:divBdr>
        <w:top w:val="none" w:sz="0" w:space="0" w:color="auto"/>
        <w:left w:val="none" w:sz="0" w:space="0" w:color="auto"/>
        <w:bottom w:val="none" w:sz="0" w:space="0" w:color="auto"/>
        <w:right w:val="none" w:sz="0" w:space="0" w:color="auto"/>
      </w:divBdr>
    </w:div>
    <w:div w:id="2082172330">
      <w:bodyDiv w:val="1"/>
      <w:marLeft w:val="0"/>
      <w:marRight w:val="0"/>
      <w:marTop w:val="0"/>
      <w:marBottom w:val="0"/>
      <w:divBdr>
        <w:top w:val="none" w:sz="0" w:space="0" w:color="auto"/>
        <w:left w:val="none" w:sz="0" w:space="0" w:color="auto"/>
        <w:bottom w:val="none" w:sz="0" w:space="0" w:color="auto"/>
        <w:right w:val="none" w:sz="0" w:space="0" w:color="auto"/>
      </w:divBdr>
    </w:div>
    <w:div w:id="2112502572">
      <w:bodyDiv w:val="1"/>
      <w:marLeft w:val="0"/>
      <w:marRight w:val="0"/>
      <w:marTop w:val="0"/>
      <w:marBottom w:val="0"/>
      <w:divBdr>
        <w:top w:val="none" w:sz="0" w:space="0" w:color="auto"/>
        <w:left w:val="none" w:sz="0" w:space="0" w:color="auto"/>
        <w:bottom w:val="none" w:sz="0" w:space="0" w:color="auto"/>
        <w:right w:val="none" w:sz="0" w:space="0" w:color="auto"/>
      </w:divBdr>
      <w:divsChild>
        <w:div w:id="63414404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2017 Conservice Colors">
      <a:dk1>
        <a:srgbClr val="555759"/>
      </a:dk1>
      <a:lt1>
        <a:srgbClr val="D1D3D3"/>
      </a:lt1>
      <a:dk2>
        <a:srgbClr val="263746"/>
      </a:dk2>
      <a:lt2>
        <a:srgbClr val="D1D3D3"/>
      </a:lt2>
      <a:accent1>
        <a:srgbClr val="263746"/>
      </a:accent1>
      <a:accent2>
        <a:srgbClr val="77BC1F"/>
      </a:accent2>
      <a:accent3>
        <a:srgbClr val="006FDD"/>
      </a:accent3>
      <a:accent4>
        <a:srgbClr val="555759"/>
      </a:accent4>
      <a:accent5>
        <a:srgbClr val="D1D3D3"/>
      </a:accent5>
      <a:accent6>
        <a:srgbClr val="FF8300"/>
      </a:accent6>
      <a:hlink>
        <a:srgbClr val="006FDD"/>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LSIs+N3BXlxj90XuQj6J1RYTU+g==">AMUW2mXzs9hwAZeXREI0XgzD0faEPjx0h0anb85ynWyks8siGKG7DQAVV22WTLfXw+KjwB4jT7psI+M8ulMoEKZUd0rA3FP2LaLMoIOvtU211JRY/yehQPU=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535</Words>
  <Characters>3054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Joshua Loveday</dc:creator>
  <cp:lastModifiedBy>Jessica Penner</cp:lastModifiedBy>
  <cp:revision>2</cp:revision>
  <dcterms:created xsi:type="dcterms:W3CDTF">2022-06-01T19:09:00Z</dcterms:created>
  <dcterms:modified xsi:type="dcterms:W3CDTF">2022-06-01T19:09:00Z</dcterms:modified>
</cp:coreProperties>
</file>